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B2870">
        <w:rPr>
          <w:rFonts w:ascii="Arial" w:eastAsia="宋体" w:hAnsi="Arial" w:cs="Times New Roman"/>
          <w:b/>
          <w:sz w:val="24"/>
          <w:szCs w:val="20"/>
          <w:lang w:val="en-GB"/>
        </w:rPr>
        <w:t>WG4 Meeting #</w:t>
      </w:r>
      <w:r w:rsidR="00F50BCA">
        <w:rPr>
          <w:rFonts w:ascii="Arial" w:eastAsia="宋体" w:hAnsi="Arial" w:cs="Times New Roman"/>
          <w:b/>
          <w:sz w:val="24"/>
          <w:szCs w:val="20"/>
          <w:lang w:val="en-GB"/>
        </w:rPr>
        <w:t>90</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185561" w:rsidRPr="00185561">
        <w:rPr>
          <w:rFonts w:ascii="Arial" w:eastAsia="宋体" w:hAnsi="Arial" w:cs="Times New Roman"/>
          <w:b/>
          <w:bCs/>
          <w:sz w:val="24"/>
          <w:szCs w:val="20"/>
          <w:lang w:val="en-GB" w:eastAsia="zh-CN"/>
        </w:rPr>
        <w:t>190190</w:t>
      </w:r>
      <w:r w:rsidR="00185561">
        <w:rPr>
          <w:rFonts w:ascii="Arial" w:eastAsia="宋体" w:hAnsi="Arial" w:cs="Times New Roman"/>
          <w:b/>
          <w:bCs/>
          <w:sz w:val="24"/>
          <w:szCs w:val="20"/>
          <w:lang w:val="en-GB" w:eastAsia="zh-CN"/>
        </w:rPr>
        <w:t>1</w:t>
      </w:r>
      <w:bookmarkStart w:id="3" w:name="_GoBack"/>
      <w:bookmarkEnd w:id="3"/>
    </w:p>
    <w:p w:rsidR="00841BCD" w:rsidRPr="00841BCD" w:rsidRDefault="00F50BCA"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Athens</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Greece</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Feb</w:t>
      </w:r>
      <w:r w:rsidR="00ED7600">
        <w:rPr>
          <w:rFonts w:ascii="Arial" w:eastAsia="宋体" w:hAnsi="Arial" w:cs="Times New Roman"/>
          <w:b/>
          <w:sz w:val="24"/>
          <w:szCs w:val="20"/>
          <w:lang w:val="en-GB"/>
        </w:rPr>
        <w:t xml:space="preserve"> </w:t>
      </w:r>
      <w:r w:rsidR="001B2870">
        <w:rPr>
          <w:rFonts w:ascii="Arial" w:eastAsia="宋体" w:hAnsi="Arial" w:cs="Times New Roman"/>
          <w:b/>
          <w:sz w:val="24"/>
          <w:szCs w:val="20"/>
          <w:lang w:val="en-GB"/>
        </w:rPr>
        <w:t>2</w:t>
      </w:r>
      <w:r>
        <w:rPr>
          <w:rFonts w:ascii="Arial" w:eastAsia="宋体" w:hAnsi="Arial" w:cs="Times New Roman"/>
          <w:b/>
          <w:sz w:val="24"/>
          <w:szCs w:val="20"/>
          <w:lang w:val="en-GB"/>
        </w:rPr>
        <w:t>5</w:t>
      </w:r>
      <w:r>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Mar 1</w:t>
      </w:r>
      <w:r>
        <w:rPr>
          <w:rFonts w:ascii="Arial" w:eastAsia="宋体" w:hAnsi="Arial" w:cs="Times New Roman"/>
          <w:b/>
          <w:sz w:val="24"/>
          <w:szCs w:val="20"/>
          <w:vertAlign w:val="superscript"/>
          <w:lang w:val="en-GB"/>
        </w:rPr>
        <w:t>st</w:t>
      </w:r>
      <w:r w:rsidR="00DA264F">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8F3120">
        <w:rPr>
          <w:rFonts w:ascii="Arial" w:eastAsia="宋体"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50BCA">
        <w:rPr>
          <w:rFonts w:ascii="Arial" w:eastAsia="Calibri" w:hAnsi="Arial" w:cs="Arial"/>
          <w:b/>
          <w:bCs/>
          <w:sz w:val="24"/>
          <w:lang w:val="en-GB"/>
        </w:rPr>
        <w:t xml:space="preserve">Discussion on </w:t>
      </w:r>
      <w:r w:rsidR="007B7C95">
        <w:rPr>
          <w:rFonts w:ascii="Arial" w:eastAsia="Calibri" w:hAnsi="Arial" w:cs="Arial"/>
          <w:b/>
          <w:bCs/>
          <w:sz w:val="24"/>
          <w:lang w:val="en-GB"/>
        </w:rPr>
        <w:t>MTTD for intra-band EN-DC</w:t>
      </w:r>
      <w:r w:rsidR="00D20B6E">
        <w:rPr>
          <w:rFonts w:ascii="Arial" w:eastAsia="Calibri" w:hAnsi="Arial" w:cs="Arial"/>
          <w:b/>
          <w:bCs/>
          <w:sz w:val="24"/>
          <w:lang w:val="en-GB"/>
        </w:rPr>
        <w:t xml:space="preserve"> requirements</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13A0F" w:rsidRPr="00D13A0F">
        <w:rPr>
          <w:rFonts w:ascii="Arial" w:eastAsia="MS Mincho" w:hAnsi="Arial" w:cs="Arial"/>
          <w:b/>
          <w:bCs/>
          <w:sz w:val="24"/>
          <w:szCs w:val="20"/>
          <w:lang w:val="en-GB"/>
        </w:rPr>
        <w:t>6</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12</w:t>
      </w:r>
      <w:r w:rsidRPr="00D13A0F">
        <w:rPr>
          <w:rFonts w:ascii="Arial" w:eastAsia="MS Mincho" w:hAnsi="Arial" w:cs="Arial"/>
          <w:b/>
          <w:bCs/>
          <w:sz w:val="24"/>
          <w:szCs w:val="20"/>
          <w:lang w:val="en-GB"/>
        </w:rPr>
        <w:t>.</w:t>
      </w:r>
      <w:r w:rsidR="00D20B6E">
        <w:rPr>
          <w:rFonts w:ascii="Arial" w:eastAsia="MS Mincho" w:hAnsi="Arial" w:cs="Arial"/>
          <w:b/>
          <w:bCs/>
          <w:sz w:val="24"/>
          <w:szCs w:val="20"/>
          <w:lang w:val="en-GB"/>
        </w:rPr>
        <w:t>6</w:t>
      </w:r>
      <w:r w:rsidR="006B7010" w:rsidRPr="00D13A0F">
        <w:rPr>
          <w:rFonts w:ascii="Arial" w:eastAsia="MS Mincho" w:hAnsi="Arial" w:cs="Arial"/>
          <w:b/>
          <w:bCs/>
          <w:sz w:val="24"/>
          <w:szCs w:val="20"/>
          <w:lang w:val="en-GB"/>
        </w:rPr>
        <w:t>.</w:t>
      </w:r>
      <w:r w:rsidR="00D20B6E">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D13A0F">
        <w:rPr>
          <w:rFonts w:ascii="Arial" w:eastAsia="Calibri" w:hAnsi="Arial" w:cs="Arial"/>
          <w:b/>
          <w:bCs/>
          <w:sz w:val="24"/>
          <w:lang w:val="en-GB"/>
        </w:rPr>
        <w:t>Discussion</w:t>
      </w:r>
      <w:r w:rsidR="00D20B6E">
        <w:rPr>
          <w:rFonts w:ascii="Arial" w:eastAsia="Calibri" w:hAnsi="Arial" w:cs="Arial"/>
          <w:b/>
          <w:bCs/>
          <w:sz w:val="24"/>
          <w:lang w:val="en-GB"/>
        </w:rPr>
        <w:t xml:space="preserve"> and Decision</w:t>
      </w:r>
    </w:p>
    <w:p w:rsidR="00BC3F7A" w:rsidRPr="00697254" w:rsidRDefault="00BC3F7A" w:rsidP="00697254">
      <w:pPr>
        <w:pStyle w:val="ListParagraph"/>
        <w:keepNext/>
        <w:keepLines/>
        <w:numPr>
          <w:ilvl w:val="0"/>
          <w:numId w:val="30"/>
        </w:numPr>
        <w:pBdr>
          <w:top w:val="single" w:sz="12" w:space="3" w:color="auto"/>
        </w:pBdr>
        <w:overflowPunct w:val="0"/>
        <w:autoSpaceDE w:val="0"/>
        <w:autoSpaceDN w:val="0"/>
        <w:adjustRightInd w:val="0"/>
        <w:spacing w:before="240" w:after="180" w:line="240" w:lineRule="auto"/>
        <w:outlineLvl w:val="0"/>
        <w:rPr>
          <w:rFonts w:ascii="Arial" w:eastAsia="宋体" w:hAnsi="Arial" w:cs="Times New Roman"/>
          <w:sz w:val="36"/>
          <w:szCs w:val="20"/>
          <w:lang w:val="en-GB"/>
        </w:rPr>
      </w:pPr>
      <w:r w:rsidRPr="00697254">
        <w:rPr>
          <w:rFonts w:ascii="Arial" w:eastAsia="宋体" w:hAnsi="Arial" w:cs="Times New Roman"/>
          <w:sz w:val="36"/>
          <w:szCs w:val="20"/>
          <w:lang w:val="en-GB"/>
        </w:rPr>
        <w:t>Introduction</w:t>
      </w:r>
    </w:p>
    <w:p w:rsidR="00BC3F7A" w:rsidRPr="00BC3F7A" w:rsidRDefault="00BC3F7A" w:rsidP="00BC3F7A">
      <w:pPr>
        <w:overflowPunct w:val="0"/>
        <w:autoSpaceDE w:val="0"/>
        <w:autoSpaceDN w:val="0"/>
        <w:adjustRightInd w:val="0"/>
        <w:spacing w:after="180" w:line="240" w:lineRule="auto"/>
        <w:rPr>
          <w:rFonts w:eastAsia="宋体" w:cs="Times New Roman"/>
          <w:szCs w:val="20"/>
          <w:lang w:val="en-GB"/>
        </w:rPr>
      </w:pPr>
      <w:bookmarkStart w:id="4" w:name="_Hlk510705081"/>
      <w:r w:rsidRPr="00BC3F7A">
        <w:rPr>
          <w:rFonts w:eastAsia="宋体" w:cs="Times New Roman"/>
          <w:szCs w:val="20"/>
          <w:lang w:val="en-GB"/>
        </w:rPr>
        <w:t>RAN1#95 in November sent the LS [1] to RAN2 and RAN4 on intra-band EN-DC and number of timing advance groups [1]:</w:t>
      </w:r>
    </w:p>
    <w:tbl>
      <w:tblPr>
        <w:tblStyle w:val="TableGrid2"/>
        <w:tblW w:w="0" w:type="auto"/>
        <w:tblInd w:w="0" w:type="dxa"/>
        <w:tblLook w:val="04A0" w:firstRow="1" w:lastRow="0" w:firstColumn="1" w:lastColumn="0" w:noHBand="0" w:noVBand="1"/>
      </w:tblPr>
      <w:tblGrid>
        <w:gridCol w:w="9617"/>
      </w:tblGrid>
      <w:tr w:rsidR="00BC3F7A" w:rsidRPr="00BC3F7A" w:rsidTr="00BC3F7A">
        <w:tc>
          <w:tcPr>
            <w:tcW w:w="9629" w:type="dxa"/>
            <w:tcBorders>
              <w:top w:val="single" w:sz="4" w:space="0" w:color="auto"/>
              <w:left w:val="single" w:sz="4" w:space="0" w:color="auto"/>
              <w:bottom w:val="single" w:sz="4" w:space="0" w:color="auto"/>
              <w:right w:val="single" w:sz="4" w:space="0" w:color="auto"/>
            </w:tcBorders>
          </w:tcPr>
          <w:p w:rsidR="00BC3F7A" w:rsidRPr="00BC3F7A" w:rsidRDefault="00BC3F7A" w:rsidP="00BC3F7A">
            <w:pPr>
              <w:autoSpaceDN w:val="0"/>
              <w:rPr>
                <w:rFonts w:ascii="Arial" w:eastAsia="Times New Roman" w:hAnsi="Arial" w:cs="Arial"/>
                <w:lang w:val="en-GB"/>
              </w:rPr>
            </w:pPr>
            <w:r w:rsidRPr="00BC3F7A">
              <w:rPr>
                <w:rFonts w:ascii="Arial" w:eastAsia="Times New Roman" w:hAnsi="Arial" w:cs="Arial"/>
                <w:lang w:val="en-GB"/>
              </w:rPr>
              <w:t>RAN1 would like to provide information on introduction of new capability bit for the intra-band synchronous continuous EN-DC. The following has been agreed RAN1:</w:t>
            </w:r>
          </w:p>
          <w:p w:rsidR="00BC3F7A" w:rsidRPr="00BC3F7A" w:rsidRDefault="00BC3F7A" w:rsidP="00BC3F7A">
            <w:pPr>
              <w:numPr>
                <w:ilvl w:val="0"/>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 xml:space="preserve">Introduce a new capability bit. </w:t>
            </w:r>
          </w:p>
          <w:p w:rsidR="00BC3F7A" w:rsidRPr="00BC3F7A" w:rsidRDefault="00BC3F7A" w:rsidP="00BC3F7A">
            <w:pPr>
              <w:numPr>
                <w:ilvl w:val="1"/>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 xml:space="preserve">The bit is applicable only for the cases where </w:t>
            </w:r>
          </w:p>
          <w:p w:rsidR="00BC3F7A" w:rsidRPr="00BC3F7A" w:rsidRDefault="00BC3F7A" w:rsidP="00BC3F7A">
            <w:pPr>
              <w:numPr>
                <w:ilvl w:val="2"/>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A dynamic power sharing capable UE operates in an intra-band synchronous contiguous EN-DC network.</w:t>
            </w:r>
          </w:p>
          <w:p w:rsidR="00BC3F7A" w:rsidRPr="00BC3F7A" w:rsidRDefault="00BC3F7A" w:rsidP="00BC3F7A">
            <w:pPr>
              <w:numPr>
                <w:ilvl w:val="2"/>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FFS: A UE supporting FDM-based ULSUP.</w:t>
            </w:r>
          </w:p>
          <w:p w:rsidR="00BC3F7A" w:rsidRPr="00BC3F7A" w:rsidRDefault="00BC3F7A" w:rsidP="00BC3F7A">
            <w:pPr>
              <w:numPr>
                <w:ilvl w:val="1"/>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If not voided subsequently, the bit is used for handling UEs that can only apply same timing between NR and LTE.</w:t>
            </w:r>
          </w:p>
          <w:p w:rsidR="00BC3F7A" w:rsidRPr="00BC3F7A" w:rsidRDefault="00BC3F7A" w:rsidP="00BC3F7A">
            <w:pPr>
              <w:numPr>
                <w:ilvl w:val="1"/>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Decide after further progress in RAN4 on whether a UE setting this bit to 1 is supported and whether the associated UE behaviour for UEs reporting this capability needs to be differentiated.</w:t>
            </w:r>
          </w:p>
          <w:p w:rsidR="00BC3F7A" w:rsidRPr="00BC3F7A" w:rsidRDefault="00BC3F7A" w:rsidP="00BC3F7A">
            <w:pPr>
              <w:numPr>
                <w:ilvl w:val="2"/>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 xml:space="preserve">If there is a new UE behaviour defined, FFS how the network can simultaneously serve two different UE types </w:t>
            </w:r>
          </w:p>
          <w:p w:rsidR="00BC3F7A" w:rsidRPr="00BC3F7A" w:rsidRDefault="00BC3F7A" w:rsidP="00BC3F7A">
            <w:pPr>
              <w:numPr>
                <w:ilvl w:val="2"/>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Whether the bit is set or not, the UE is capable of receiving independent TA commands on the MCG and the SCG</w:t>
            </w:r>
          </w:p>
          <w:p w:rsidR="00BC3F7A" w:rsidRPr="00BC3F7A" w:rsidRDefault="00BC3F7A" w:rsidP="00BC3F7A">
            <w:pPr>
              <w:numPr>
                <w:ilvl w:val="1"/>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UEs that set this bit to 0 should be able to operate with a timing difference up to applicable MTTD requirements when operating in a synchronous intra-band contiguous EN-DC network.</w:t>
            </w:r>
          </w:p>
          <w:p w:rsidR="00BC3F7A" w:rsidRPr="00BC3F7A" w:rsidRDefault="00BC3F7A" w:rsidP="00BC3F7A">
            <w:pPr>
              <w:autoSpaceDN w:val="0"/>
              <w:rPr>
                <w:rFonts w:ascii="Arial" w:eastAsia="Times New Roman" w:hAnsi="Arial" w:cs="Arial"/>
                <w:lang w:val="en-GB"/>
              </w:rPr>
            </w:pPr>
          </w:p>
          <w:p w:rsidR="00BC3F7A" w:rsidRPr="00BC3F7A" w:rsidRDefault="00BC3F7A" w:rsidP="00BC3F7A">
            <w:pPr>
              <w:autoSpaceDN w:val="0"/>
              <w:rPr>
                <w:rFonts w:ascii="Arial" w:eastAsia="Times New Roman" w:hAnsi="Arial" w:cs="Arial"/>
                <w:lang w:val="en-GB"/>
              </w:rPr>
            </w:pPr>
          </w:p>
          <w:p w:rsidR="00BC3F7A" w:rsidRPr="00BC3F7A" w:rsidRDefault="00BC3F7A" w:rsidP="00BC3F7A">
            <w:pPr>
              <w:autoSpaceDN w:val="0"/>
              <w:rPr>
                <w:rFonts w:ascii="Arial" w:eastAsia="Times New Roman" w:hAnsi="Arial" w:cs="Arial"/>
                <w:lang w:val="en-GB"/>
              </w:rPr>
            </w:pPr>
            <w:r w:rsidRPr="00BC3F7A">
              <w:rPr>
                <w:rFonts w:ascii="Arial" w:eastAsia="Times New Roman" w:hAnsi="Arial" w:cs="Arial"/>
                <w:lang w:val="en-GB"/>
              </w:rPr>
              <w:t>Additionally, RAN1 has further clarified the FG6-11 of the RAN1 UE feature list as follows:</w:t>
            </w:r>
          </w:p>
          <w:p w:rsidR="00BC3F7A" w:rsidRPr="00BC3F7A" w:rsidRDefault="00BC3F7A" w:rsidP="00BC3F7A">
            <w:pPr>
              <w:numPr>
                <w:ilvl w:val="0"/>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Add a note for feature group 6-11 stating that this feature group is applied to NR-NR CA and EN-DC. For EN-DC, the feature group indicates number of TAGs only for NR CG.</w:t>
            </w:r>
          </w:p>
          <w:p w:rsidR="00BC3F7A" w:rsidRPr="00BC3F7A" w:rsidRDefault="00BC3F7A" w:rsidP="00BC3F7A">
            <w:pPr>
              <w:numPr>
                <w:ilvl w:val="1"/>
                <w:numId w:val="26"/>
              </w:numPr>
              <w:overflowPunct w:val="0"/>
              <w:autoSpaceDE w:val="0"/>
              <w:autoSpaceDN w:val="0"/>
              <w:adjustRightInd w:val="0"/>
              <w:rPr>
                <w:rFonts w:ascii="Arial" w:eastAsia="Times New Roman" w:hAnsi="Arial" w:cs="Arial"/>
                <w:lang w:val="en-GB"/>
              </w:rPr>
            </w:pPr>
            <w:r w:rsidRPr="00BC3F7A">
              <w:rPr>
                <w:rFonts w:ascii="Arial" w:eastAsia="Times New Roman" w:hAnsi="Arial" w:cs="Arial"/>
                <w:lang w:val="en-GB"/>
              </w:rPr>
              <w:t xml:space="preserve">Note: The number of TAGs for the LTE MCG is signalled by existing LTE TAG capability signalling </w:t>
            </w:r>
          </w:p>
          <w:p w:rsidR="00BC3F7A" w:rsidRPr="00BC3F7A" w:rsidRDefault="00BC3F7A" w:rsidP="00BC3F7A">
            <w:pPr>
              <w:autoSpaceDN w:val="0"/>
              <w:rPr>
                <w:rFonts w:ascii="Arial" w:eastAsia="Times New Roman" w:hAnsi="Arial" w:cs="Arial"/>
                <w:lang w:val="en-GB"/>
              </w:rPr>
            </w:pPr>
          </w:p>
          <w:p w:rsidR="00BC3F7A" w:rsidRPr="00BC3F7A" w:rsidRDefault="00BC3F7A" w:rsidP="00BC3F7A">
            <w:pPr>
              <w:autoSpaceDN w:val="0"/>
              <w:rPr>
                <w:rFonts w:ascii="Arial" w:eastAsia="Times New Roman" w:hAnsi="Arial" w:cs="Arial"/>
                <w:lang w:val="en-GB"/>
              </w:rPr>
            </w:pPr>
            <w:r w:rsidRPr="00BC3F7A">
              <w:rPr>
                <w:rFonts w:ascii="Arial" w:eastAsia="Times New Roman" w:hAnsi="Arial" w:cs="Arial"/>
                <w:lang w:val="en-GB"/>
              </w:rPr>
              <w:t>RAN1 would like kindly ask RAN2 and RAN4 to consider the above in their further work.</w:t>
            </w:r>
          </w:p>
        </w:tc>
      </w:tr>
    </w:tbl>
    <w:p w:rsidR="00BC3F7A" w:rsidRPr="00BC3F7A" w:rsidRDefault="00BC3F7A" w:rsidP="00BC3F7A">
      <w:pPr>
        <w:overflowPunct w:val="0"/>
        <w:autoSpaceDE w:val="0"/>
        <w:autoSpaceDN w:val="0"/>
        <w:adjustRightInd w:val="0"/>
        <w:spacing w:after="180" w:line="240" w:lineRule="auto"/>
        <w:rPr>
          <w:rFonts w:eastAsia="宋体" w:cs="Times New Roman"/>
          <w:szCs w:val="20"/>
          <w:lang w:val="en-GB"/>
        </w:rPr>
      </w:pPr>
    </w:p>
    <w:p w:rsidR="00BC3F7A" w:rsidRPr="00697254" w:rsidRDefault="00BC3F7A" w:rsidP="00697254">
      <w:pPr>
        <w:pStyle w:val="ListParagraph"/>
        <w:keepNext/>
        <w:keepLines/>
        <w:numPr>
          <w:ilvl w:val="0"/>
          <w:numId w:val="30"/>
        </w:numPr>
        <w:pBdr>
          <w:top w:val="single" w:sz="12" w:space="3" w:color="auto"/>
        </w:pBdr>
        <w:overflowPunct w:val="0"/>
        <w:autoSpaceDE w:val="0"/>
        <w:autoSpaceDN w:val="0"/>
        <w:adjustRightInd w:val="0"/>
        <w:spacing w:before="240" w:after="180" w:line="240" w:lineRule="auto"/>
        <w:outlineLvl w:val="0"/>
        <w:rPr>
          <w:rFonts w:ascii="Arial" w:eastAsia="宋体" w:hAnsi="Arial" w:cs="Times New Roman"/>
          <w:sz w:val="36"/>
          <w:szCs w:val="20"/>
          <w:lang w:val="en-GB"/>
        </w:rPr>
      </w:pPr>
      <w:r w:rsidRPr="00697254">
        <w:rPr>
          <w:rFonts w:ascii="Arial" w:eastAsia="宋体" w:hAnsi="Arial" w:cs="Times New Roman"/>
          <w:sz w:val="36"/>
          <w:szCs w:val="20"/>
          <w:lang w:val="en-GB"/>
        </w:rPr>
        <w:t>Discussion</w:t>
      </w:r>
    </w:p>
    <w:bookmarkEnd w:id="4"/>
    <w:p w:rsidR="00BC3F7A" w:rsidRPr="00BC3F7A" w:rsidRDefault="00BC3F7A" w:rsidP="00BC3F7A">
      <w:pPr>
        <w:overflowPunct w:val="0"/>
        <w:autoSpaceDE w:val="0"/>
        <w:autoSpaceDN w:val="0"/>
        <w:adjustRightInd w:val="0"/>
        <w:spacing w:after="180" w:line="240" w:lineRule="auto"/>
        <w:rPr>
          <w:rFonts w:eastAsia="宋体" w:cs="Times New Roman"/>
          <w:szCs w:val="20"/>
          <w:lang w:val="en-GB"/>
        </w:rPr>
      </w:pPr>
      <w:r w:rsidRPr="00BC3F7A">
        <w:rPr>
          <w:rFonts w:eastAsia="宋体" w:cs="Times New Roman"/>
          <w:szCs w:val="20"/>
          <w:lang w:val="en-GB"/>
        </w:rPr>
        <w:t>RAN1 discussion could naturally not conclude on what would be the RAN4 outcome on the need for a separate UE capability for the discussed issue, and took somewhat atypical approach of asking to add the capability bit to the RAN2 specifications ahead of confirming the need. This was due to the pressure to provide everything that is required for ASN.1 freeze, and if the capability bit is deemed unnecessary by RAN4, then the meaning of the bit can be obsoleted by RAN2.</w:t>
      </w:r>
    </w:p>
    <w:p w:rsidR="00BC3F7A" w:rsidRPr="00BC3F7A" w:rsidRDefault="00BC3F7A" w:rsidP="00BC3F7A">
      <w:pPr>
        <w:overflowPunct w:val="0"/>
        <w:autoSpaceDE w:val="0"/>
        <w:autoSpaceDN w:val="0"/>
        <w:adjustRightInd w:val="0"/>
        <w:spacing w:after="180" w:line="240" w:lineRule="auto"/>
        <w:rPr>
          <w:rFonts w:eastAsia="宋体" w:cs="Times New Roman"/>
          <w:szCs w:val="20"/>
          <w:lang w:val="en-GB"/>
        </w:rPr>
      </w:pPr>
      <w:r w:rsidRPr="00BC3F7A">
        <w:rPr>
          <w:rFonts w:eastAsia="宋体" w:cs="Times New Roman"/>
          <w:szCs w:val="20"/>
          <w:lang w:val="en-GB"/>
        </w:rPr>
        <w:t>The current RAN4 definition for the EN-DC timing requirements in TS38.133 are summarized in table 1 below:</w:t>
      </w:r>
    </w:p>
    <w:p w:rsidR="00BC3F7A" w:rsidRPr="00BC3F7A" w:rsidRDefault="00BC3F7A" w:rsidP="00BC3F7A">
      <w:pPr>
        <w:keepNext/>
        <w:overflowPunct w:val="0"/>
        <w:autoSpaceDE w:val="0"/>
        <w:autoSpaceDN w:val="0"/>
        <w:adjustRightInd w:val="0"/>
        <w:spacing w:before="120" w:after="120" w:line="240" w:lineRule="auto"/>
        <w:jc w:val="center"/>
        <w:rPr>
          <w:rFonts w:eastAsia="Calibri" w:cs="Times New Roman"/>
          <w:b/>
          <w:sz w:val="22"/>
          <w:lang w:val="en-GB"/>
        </w:rPr>
      </w:pPr>
      <w:bookmarkStart w:id="5" w:name="_Hlk528748105"/>
      <w:r w:rsidRPr="00BC3F7A">
        <w:rPr>
          <w:rFonts w:eastAsia="Calibri" w:cs="Times New Roman"/>
          <w:b/>
          <w:sz w:val="22"/>
          <w:lang w:val="en-GB"/>
        </w:rPr>
        <w:lastRenderedPageBreak/>
        <w:t xml:space="preserve">Table </w:t>
      </w:r>
      <w:r w:rsidRPr="00BC3F7A">
        <w:rPr>
          <w:rFonts w:eastAsia="Calibri" w:cs="Times New Roman"/>
          <w:b/>
          <w:sz w:val="22"/>
          <w:lang w:val="en-GB"/>
        </w:rPr>
        <w:fldChar w:fldCharType="begin"/>
      </w:r>
      <w:r w:rsidRPr="00BC3F7A">
        <w:rPr>
          <w:rFonts w:eastAsia="Calibri" w:cs="Times New Roman"/>
          <w:b/>
          <w:sz w:val="22"/>
          <w:lang w:val="en-GB"/>
        </w:rPr>
        <w:instrText xml:space="preserve"> SEQ Table \* ARABIC </w:instrText>
      </w:r>
      <w:r w:rsidRPr="00BC3F7A">
        <w:rPr>
          <w:rFonts w:eastAsia="Calibri" w:cs="Times New Roman"/>
          <w:b/>
          <w:sz w:val="22"/>
          <w:lang w:val="en-GB"/>
        </w:rPr>
        <w:fldChar w:fldCharType="separate"/>
      </w:r>
      <w:r w:rsidRPr="00BC3F7A">
        <w:rPr>
          <w:rFonts w:eastAsia="Calibri" w:cs="Times New Roman"/>
          <w:b/>
          <w:noProof/>
          <w:sz w:val="22"/>
          <w:lang w:val="en-GB"/>
        </w:rPr>
        <w:t>1</w:t>
      </w:r>
      <w:r w:rsidRPr="00BC3F7A">
        <w:rPr>
          <w:rFonts w:eastAsia="Calibri" w:cs="Times New Roman"/>
          <w:b/>
          <w:sz w:val="22"/>
          <w:lang w:val="en-GB"/>
        </w:rPr>
        <w:fldChar w:fldCharType="end"/>
      </w:r>
      <w:r w:rsidRPr="00BC3F7A">
        <w:rPr>
          <w:rFonts w:eastAsia="Calibri" w:cs="Times New Roman"/>
          <w:b/>
          <w:sz w:val="22"/>
          <w:lang w:val="en-GB"/>
        </w:rPr>
        <w:t>: EN-DC timinig requirements and the possible new UE capability</w:t>
      </w:r>
    </w:p>
    <w:tbl>
      <w:tblPr>
        <w:tblStyle w:val="TableGrid2"/>
        <w:tblW w:w="0" w:type="auto"/>
        <w:tblInd w:w="0" w:type="dxa"/>
        <w:tblLayout w:type="fixed"/>
        <w:tblLook w:val="04A0" w:firstRow="1" w:lastRow="0" w:firstColumn="1" w:lastColumn="0" w:noHBand="0" w:noVBand="1"/>
      </w:tblPr>
      <w:tblGrid>
        <w:gridCol w:w="837"/>
        <w:gridCol w:w="1426"/>
        <w:gridCol w:w="1560"/>
        <w:gridCol w:w="2693"/>
        <w:gridCol w:w="3113"/>
      </w:tblGrid>
      <w:tr w:rsidR="00BC3F7A" w:rsidRPr="00BC3F7A" w:rsidTr="00BC3F7A">
        <w:tc>
          <w:tcPr>
            <w:tcW w:w="837" w:type="dxa"/>
            <w:tcBorders>
              <w:top w:val="single" w:sz="4" w:space="0" w:color="auto"/>
              <w:left w:val="single" w:sz="4" w:space="0" w:color="auto"/>
              <w:bottom w:val="single" w:sz="4" w:space="0" w:color="auto"/>
              <w:right w:val="single" w:sz="4" w:space="0" w:color="auto"/>
            </w:tcBorders>
            <w:shd w:val="clear" w:color="auto" w:fill="D9D9D9"/>
            <w:hideMark/>
          </w:tcPr>
          <w:p w:rsidR="00BC3F7A" w:rsidRPr="00BC3F7A" w:rsidRDefault="00BC3F7A" w:rsidP="00BC3F7A">
            <w:pPr>
              <w:overflowPunct w:val="0"/>
              <w:autoSpaceDE w:val="0"/>
              <w:autoSpaceDN w:val="0"/>
              <w:adjustRightInd w:val="0"/>
              <w:spacing w:after="180"/>
              <w:jc w:val="center"/>
              <w:rPr>
                <w:b/>
                <w:lang w:val="en-GB"/>
              </w:rPr>
            </w:pPr>
            <w:r w:rsidRPr="00BC3F7A">
              <w:rPr>
                <w:b/>
                <w:lang w:val="en-GB"/>
              </w:rPr>
              <w:t>Case</w:t>
            </w:r>
          </w:p>
        </w:tc>
        <w:tc>
          <w:tcPr>
            <w:tcW w:w="1426" w:type="dxa"/>
            <w:tcBorders>
              <w:top w:val="single" w:sz="4" w:space="0" w:color="auto"/>
              <w:left w:val="single" w:sz="4" w:space="0" w:color="auto"/>
              <w:bottom w:val="single" w:sz="4" w:space="0" w:color="auto"/>
              <w:right w:val="single" w:sz="4" w:space="0" w:color="auto"/>
            </w:tcBorders>
            <w:shd w:val="clear" w:color="auto" w:fill="D9D9D9"/>
            <w:hideMark/>
          </w:tcPr>
          <w:p w:rsidR="00BC3F7A" w:rsidRPr="00BC3F7A" w:rsidRDefault="00BC3F7A" w:rsidP="00BC3F7A">
            <w:pPr>
              <w:overflowPunct w:val="0"/>
              <w:autoSpaceDE w:val="0"/>
              <w:autoSpaceDN w:val="0"/>
              <w:adjustRightInd w:val="0"/>
              <w:spacing w:after="180"/>
              <w:jc w:val="center"/>
              <w:rPr>
                <w:b/>
                <w:lang w:val="en-GB"/>
              </w:rPr>
            </w:pPr>
            <w:r w:rsidRPr="00BC3F7A">
              <w:rPr>
                <w:b/>
                <w:lang w:val="en-GB"/>
              </w:rPr>
              <w:t>Band combination</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BC3F7A" w:rsidRPr="00BC3F7A" w:rsidRDefault="00BC3F7A" w:rsidP="00BC3F7A">
            <w:pPr>
              <w:overflowPunct w:val="0"/>
              <w:autoSpaceDE w:val="0"/>
              <w:autoSpaceDN w:val="0"/>
              <w:adjustRightInd w:val="0"/>
              <w:spacing w:after="180"/>
              <w:jc w:val="center"/>
              <w:rPr>
                <w:b/>
                <w:lang w:val="en-GB"/>
              </w:rPr>
            </w:pPr>
            <w:r w:rsidRPr="00BC3F7A">
              <w:rPr>
                <w:b/>
                <w:lang w:val="en-GB"/>
              </w:rPr>
              <w:t>SCS [kHz]</w:t>
            </w:r>
          </w:p>
        </w:tc>
        <w:tc>
          <w:tcPr>
            <w:tcW w:w="2693" w:type="dxa"/>
            <w:tcBorders>
              <w:top w:val="single" w:sz="4" w:space="0" w:color="auto"/>
              <w:left w:val="single" w:sz="4" w:space="0" w:color="auto"/>
              <w:bottom w:val="single" w:sz="4" w:space="0" w:color="auto"/>
              <w:right w:val="single" w:sz="4" w:space="0" w:color="auto"/>
            </w:tcBorders>
            <w:shd w:val="clear" w:color="auto" w:fill="D9D9D9"/>
            <w:hideMark/>
          </w:tcPr>
          <w:p w:rsidR="00BC3F7A" w:rsidRPr="00BC3F7A" w:rsidRDefault="00BC3F7A" w:rsidP="00BC3F7A">
            <w:pPr>
              <w:overflowPunct w:val="0"/>
              <w:autoSpaceDE w:val="0"/>
              <w:autoSpaceDN w:val="0"/>
              <w:adjustRightInd w:val="0"/>
              <w:spacing w:after="180"/>
              <w:jc w:val="center"/>
              <w:rPr>
                <w:b/>
                <w:lang w:val="en-GB"/>
              </w:rPr>
            </w:pPr>
            <w:r w:rsidRPr="00BC3F7A">
              <w:rPr>
                <w:b/>
                <w:lang w:val="en-GB"/>
              </w:rPr>
              <w:t>Max Rx timing difference [µs]</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rsidR="00BC3F7A" w:rsidRPr="00BC3F7A" w:rsidRDefault="00BC3F7A" w:rsidP="00BC3F7A">
            <w:pPr>
              <w:overflowPunct w:val="0"/>
              <w:autoSpaceDE w:val="0"/>
              <w:autoSpaceDN w:val="0"/>
              <w:adjustRightInd w:val="0"/>
              <w:spacing w:after="180"/>
              <w:jc w:val="center"/>
              <w:rPr>
                <w:b/>
                <w:lang w:val="en-GB"/>
              </w:rPr>
            </w:pPr>
            <w:r w:rsidRPr="00BC3F7A">
              <w:rPr>
                <w:b/>
                <w:lang w:val="en-GB"/>
              </w:rPr>
              <w:t>Max Tx timing difference [µs]</w:t>
            </w:r>
          </w:p>
        </w:tc>
      </w:tr>
      <w:tr w:rsidR="00BC3F7A" w:rsidRPr="00BC3F7A" w:rsidTr="00BC3F7A">
        <w:tc>
          <w:tcPr>
            <w:tcW w:w="837" w:type="dxa"/>
            <w:vMerge w:val="restart"/>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rPr>
                <w:lang w:val="en-GB"/>
              </w:rPr>
            </w:pPr>
            <w:r w:rsidRPr="00BC3F7A">
              <w:rPr>
                <w:lang w:val="en-GB"/>
              </w:rPr>
              <w:t>Async</w:t>
            </w:r>
          </w:p>
        </w:tc>
        <w:tc>
          <w:tcPr>
            <w:tcW w:w="1426"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rPr>
                <w:lang w:val="en-GB"/>
              </w:rPr>
            </w:pPr>
            <w:r w:rsidRPr="00BC3F7A">
              <w:rPr>
                <w:lang w:val="en-GB"/>
              </w:rPr>
              <w:t>Inter-band</w:t>
            </w:r>
            <w:r w:rsidRPr="00BC3F7A">
              <w:rPr>
                <w:vertAlign w:val="superscript"/>
                <w:lang w:val="en-GB"/>
              </w:rPr>
              <w:t>(1</w:t>
            </w:r>
          </w:p>
        </w:tc>
        <w:tc>
          <w:tcPr>
            <w:tcW w:w="1560"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{15,30,60,120}</w:t>
            </w:r>
          </w:p>
        </w:tc>
        <w:tc>
          <w:tcPr>
            <w:tcW w:w="2693"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500*2</w:t>
            </w:r>
            <w:r w:rsidRPr="00BC3F7A">
              <w:rPr>
                <w:vertAlign w:val="superscript"/>
                <w:lang w:val="en-GB"/>
              </w:rPr>
              <w:t>-µ</w:t>
            </w:r>
          </w:p>
        </w:tc>
        <w:tc>
          <w:tcPr>
            <w:tcW w:w="3113"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500*2</w:t>
            </w:r>
            <w:r w:rsidRPr="00BC3F7A">
              <w:rPr>
                <w:vertAlign w:val="superscript"/>
                <w:lang w:val="en-GB"/>
              </w:rPr>
              <w:t>-µ</w:t>
            </w:r>
          </w:p>
        </w:tc>
      </w:tr>
      <w:tr w:rsidR="00BC3F7A" w:rsidRPr="00BC3F7A" w:rsidTr="00BC3F7A">
        <w:tc>
          <w:tcPr>
            <w:tcW w:w="837" w:type="dxa"/>
            <w:vMerge/>
            <w:tcBorders>
              <w:top w:val="single" w:sz="4" w:space="0" w:color="auto"/>
              <w:left w:val="single" w:sz="4" w:space="0" w:color="auto"/>
              <w:bottom w:val="single" w:sz="4" w:space="0" w:color="auto"/>
              <w:right w:val="single" w:sz="4" w:space="0" w:color="auto"/>
            </w:tcBorders>
            <w:vAlign w:val="center"/>
            <w:hideMark/>
          </w:tcPr>
          <w:p w:rsidR="00BC3F7A" w:rsidRPr="00BC3F7A" w:rsidRDefault="00BC3F7A" w:rsidP="00BC3F7A">
            <w:pPr>
              <w:rPr>
                <w:lang w:val="en-GB"/>
              </w:rPr>
            </w:pPr>
          </w:p>
        </w:tc>
        <w:tc>
          <w:tcPr>
            <w:tcW w:w="1426"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rPr>
                <w:lang w:val="en-GB"/>
              </w:rPr>
            </w:pPr>
            <w:r w:rsidRPr="00BC3F7A">
              <w:rPr>
                <w:lang w:val="en-GB"/>
              </w:rPr>
              <w:t>Intra-band</w:t>
            </w:r>
            <w:r w:rsidRPr="00BC3F7A">
              <w:rPr>
                <w:vertAlign w:val="superscript"/>
                <w:lang w:val="en-GB"/>
              </w:rPr>
              <w:t>(2,4</w:t>
            </w:r>
          </w:p>
        </w:tc>
        <w:tc>
          <w:tcPr>
            <w:tcW w:w="1560"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{15,30,60}</w:t>
            </w:r>
          </w:p>
        </w:tc>
        <w:tc>
          <w:tcPr>
            <w:tcW w:w="2693"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500*2</w:t>
            </w:r>
            <w:r w:rsidRPr="00BC3F7A">
              <w:rPr>
                <w:vertAlign w:val="superscript"/>
                <w:lang w:val="en-GB"/>
              </w:rPr>
              <w:t>-µ</w:t>
            </w:r>
          </w:p>
        </w:tc>
        <w:tc>
          <w:tcPr>
            <w:tcW w:w="3113"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500*2</w:t>
            </w:r>
            <w:r w:rsidRPr="00BC3F7A">
              <w:rPr>
                <w:vertAlign w:val="superscript"/>
                <w:lang w:val="en-GB"/>
              </w:rPr>
              <w:t>-µ</w:t>
            </w:r>
          </w:p>
        </w:tc>
      </w:tr>
      <w:tr w:rsidR="00BC3F7A" w:rsidRPr="00BC3F7A" w:rsidTr="00BC3F7A">
        <w:tc>
          <w:tcPr>
            <w:tcW w:w="837" w:type="dxa"/>
            <w:vMerge w:val="restart"/>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rPr>
                <w:lang w:val="en-GB"/>
              </w:rPr>
            </w:pPr>
            <w:r w:rsidRPr="00BC3F7A">
              <w:rPr>
                <w:lang w:val="en-GB"/>
              </w:rPr>
              <w:t>Sync</w:t>
            </w:r>
          </w:p>
        </w:tc>
        <w:tc>
          <w:tcPr>
            <w:tcW w:w="1426"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rPr>
                <w:lang w:val="en-GB"/>
              </w:rPr>
            </w:pPr>
            <w:r w:rsidRPr="00BC3F7A">
              <w:rPr>
                <w:lang w:val="en-GB"/>
              </w:rPr>
              <w:t>Inter-band</w:t>
            </w:r>
            <w:r w:rsidRPr="00BC3F7A">
              <w:rPr>
                <w:vertAlign w:val="superscript"/>
                <w:lang w:val="en-GB"/>
              </w:rPr>
              <w:t>(1,5</w:t>
            </w:r>
          </w:p>
        </w:tc>
        <w:tc>
          <w:tcPr>
            <w:tcW w:w="1560"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{15,30,60,120}</w:t>
            </w:r>
          </w:p>
        </w:tc>
        <w:tc>
          <w:tcPr>
            <w:tcW w:w="2693"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33</w:t>
            </w:r>
          </w:p>
        </w:tc>
        <w:tc>
          <w:tcPr>
            <w:tcW w:w="3113"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35.21</w:t>
            </w:r>
          </w:p>
        </w:tc>
      </w:tr>
      <w:tr w:rsidR="00BC3F7A" w:rsidRPr="00BC3F7A" w:rsidTr="00BC3F7A">
        <w:trPr>
          <w:trHeight w:val="56"/>
        </w:trPr>
        <w:tc>
          <w:tcPr>
            <w:tcW w:w="837" w:type="dxa"/>
            <w:vMerge/>
            <w:tcBorders>
              <w:top w:val="single" w:sz="4" w:space="0" w:color="auto"/>
              <w:left w:val="single" w:sz="4" w:space="0" w:color="auto"/>
              <w:bottom w:val="single" w:sz="4" w:space="0" w:color="auto"/>
              <w:right w:val="single" w:sz="4" w:space="0" w:color="auto"/>
            </w:tcBorders>
            <w:vAlign w:val="center"/>
            <w:hideMark/>
          </w:tcPr>
          <w:p w:rsidR="00BC3F7A" w:rsidRPr="00BC3F7A" w:rsidRDefault="00BC3F7A" w:rsidP="00BC3F7A">
            <w:pPr>
              <w:rPr>
                <w:lang w:val="en-GB"/>
              </w:rPr>
            </w:pPr>
          </w:p>
        </w:tc>
        <w:tc>
          <w:tcPr>
            <w:tcW w:w="1426"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rPr>
                <w:lang w:val="en-GB"/>
              </w:rPr>
            </w:pPr>
            <w:r w:rsidRPr="00BC3F7A">
              <w:rPr>
                <w:lang w:val="en-GB"/>
              </w:rPr>
              <w:t>Intra-band</w:t>
            </w:r>
            <w:r w:rsidRPr="00BC3F7A">
              <w:rPr>
                <w:vertAlign w:val="superscript"/>
                <w:lang w:val="en-GB"/>
              </w:rPr>
              <w:t>(2,3,4</w:t>
            </w:r>
          </w:p>
        </w:tc>
        <w:tc>
          <w:tcPr>
            <w:tcW w:w="1560"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{15,30,60}</w:t>
            </w:r>
          </w:p>
        </w:tc>
        <w:tc>
          <w:tcPr>
            <w:tcW w:w="2693"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lang w:val="en-GB"/>
              </w:rPr>
              <w:t>3</w:t>
            </w:r>
          </w:p>
        </w:tc>
        <w:tc>
          <w:tcPr>
            <w:tcW w:w="3113" w:type="dxa"/>
            <w:tcBorders>
              <w:top w:val="single" w:sz="4" w:space="0" w:color="auto"/>
              <w:left w:val="single" w:sz="4" w:space="0" w:color="auto"/>
              <w:bottom w:val="single" w:sz="4" w:space="0" w:color="auto"/>
              <w:right w:val="single" w:sz="4" w:space="0" w:color="auto"/>
            </w:tcBorders>
            <w:hideMark/>
          </w:tcPr>
          <w:p w:rsidR="00BC3F7A" w:rsidRPr="00BC3F7A" w:rsidRDefault="00BC3F7A" w:rsidP="00BC3F7A">
            <w:pPr>
              <w:overflowPunct w:val="0"/>
              <w:autoSpaceDE w:val="0"/>
              <w:autoSpaceDN w:val="0"/>
              <w:adjustRightInd w:val="0"/>
              <w:jc w:val="center"/>
              <w:rPr>
                <w:lang w:val="en-GB"/>
              </w:rPr>
            </w:pPr>
            <w:r w:rsidRPr="00BC3F7A">
              <w:rPr>
                <w:highlight w:val="yellow"/>
                <w:lang w:val="en-GB"/>
              </w:rPr>
              <w:t>No requirement applicable</w:t>
            </w:r>
          </w:p>
        </w:tc>
      </w:tr>
    </w:tbl>
    <w:p w:rsidR="00BC3F7A" w:rsidRPr="00BC3F7A" w:rsidRDefault="00BC3F7A" w:rsidP="00BC3F7A">
      <w:pPr>
        <w:numPr>
          <w:ilvl w:val="0"/>
          <w:numId w:val="27"/>
        </w:numPr>
        <w:overflowPunct w:val="0"/>
        <w:autoSpaceDE w:val="0"/>
        <w:autoSpaceDN w:val="0"/>
        <w:adjustRightInd w:val="0"/>
        <w:spacing w:after="0" w:line="240" w:lineRule="auto"/>
        <w:ind w:left="426"/>
        <w:contextualSpacing/>
        <w:rPr>
          <w:rFonts w:eastAsia="Calibri" w:cs="v4.2.0"/>
          <w:sz w:val="18"/>
          <w:szCs w:val="20"/>
          <w:lang w:eastAsia="zh-CN"/>
        </w:rPr>
      </w:pPr>
      <w:r w:rsidRPr="00BC3F7A">
        <w:rPr>
          <w:rFonts w:eastAsia="Calibri" w:cs="v4.2.0"/>
          <w:sz w:val="18"/>
          <w:szCs w:val="20"/>
          <w:lang w:eastAsia="zh-CN"/>
        </w:rPr>
        <w:t>Applicable for E-UTRA TDD – NR TDD, E-UTRA FDD – NR FDD, E-UTRA TDD – NR FDD, E-UTRA FDD – NR TDD</w:t>
      </w:r>
    </w:p>
    <w:p w:rsidR="00BC3F7A" w:rsidRPr="00BC3F7A" w:rsidRDefault="00BC3F7A" w:rsidP="00BC3F7A">
      <w:pPr>
        <w:numPr>
          <w:ilvl w:val="0"/>
          <w:numId w:val="27"/>
        </w:numPr>
        <w:overflowPunct w:val="0"/>
        <w:autoSpaceDE w:val="0"/>
        <w:autoSpaceDN w:val="0"/>
        <w:adjustRightInd w:val="0"/>
        <w:spacing w:after="0" w:line="240" w:lineRule="auto"/>
        <w:ind w:left="426"/>
        <w:contextualSpacing/>
        <w:rPr>
          <w:rFonts w:eastAsia="Calibri" w:cs="v4.2.0"/>
          <w:sz w:val="18"/>
          <w:szCs w:val="20"/>
          <w:lang w:eastAsia="zh-CN"/>
        </w:rPr>
      </w:pPr>
      <w:r w:rsidRPr="00BC3F7A">
        <w:rPr>
          <w:rFonts w:eastAsia="Calibri" w:cs="Times New Roman"/>
          <w:sz w:val="18"/>
          <w:szCs w:val="20"/>
          <w:lang w:eastAsia="zh-CN"/>
        </w:rPr>
        <w:t>Applicable for E-UTRA FDD – NR FDD</w:t>
      </w:r>
    </w:p>
    <w:p w:rsidR="00BC3F7A" w:rsidRPr="00BC3F7A" w:rsidRDefault="00BC3F7A" w:rsidP="00BC3F7A">
      <w:pPr>
        <w:numPr>
          <w:ilvl w:val="0"/>
          <w:numId w:val="27"/>
        </w:numPr>
        <w:overflowPunct w:val="0"/>
        <w:autoSpaceDE w:val="0"/>
        <w:autoSpaceDN w:val="0"/>
        <w:adjustRightInd w:val="0"/>
        <w:spacing w:after="0" w:line="240" w:lineRule="auto"/>
        <w:ind w:left="426"/>
        <w:contextualSpacing/>
        <w:rPr>
          <w:rFonts w:eastAsia="Calibri" w:cs="v4.2.0"/>
          <w:sz w:val="18"/>
          <w:szCs w:val="20"/>
          <w:lang w:eastAsia="zh-CN"/>
        </w:rPr>
      </w:pPr>
      <w:r w:rsidRPr="00BC3F7A">
        <w:rPr>
          <w:rFonts w:eastAsia="Calibri" w:cs="Times New Roman"/>
          <w:sz w:val="18"/>
          <w:szCs w:val="20"/>
          <w:lang w:eastAsia="zh-CN"/>
        </w:rPr>
        <w:t>Applicable for E-UTRA TDD – NR TDD</w:t>
      </w:r>
    </w:p>
    <w:p w:rsidR="00BC3F7A" w:rsidRPr="00BC3F7A" w:rsidRDefault="00BC3F7A" w:rsidP="00BC3F7A">
      <w:pPr>
        <w:numPr>
          <w:ilvl w:val="0"/>
          <w:numId w:val="27"/>
        </w:numPr>
        <w:overflowPunct w:val="0"/>
        <w:autoSpaceDE w:val="0"/>
        <w:autoSpaceDN w:val="0"/>
        <w:adjustRightInd w:val="0"/>
        <w:spacing w:after="0" w:line="240" w:lineRule="auto"/>
        <w:ind w:left="426"/>
        <w:contextualSpacing/>
        <w:rPr>
          <w:rFonts w:eastAsia="Calibri" w:cs="v4.2.0"/>
          <w:sz w:val="18"/>
          <w:szCs w:val="20"/>
          <w:lang w:eastAsia="zh-CN"/>
        </w:rPr>
      </w:pPr>
      <w:r w:rsidRPr="00BC3F7A">
        <w:rPr>
          <w:rFonts w:eastAsia="Calibri" w:cs="v4.2.0"/>
          <w:sz w:val="18"/>
          <w:szCs w:val="20"/>
          <w:lang w:eastAsia="zh-CN"/>
        </w:rPr>
        <w:t>Only collocated deployment is applied</w:t>
      </w:r>
    </w:p>
    <w:p w:rsidR="00BC3F7A" w:rsidRPr="00BC3F7A" w:rsidRDefault="00BC3F7A" w:rsidP="00BC3F7A">
      <w:pPr>
        <w:numPr>
          <w:ilvl w:val="0"/>
          <w:numId w:val="27"/>
        </w:numPr>
        <w:overflowPunct w:val="0"/>
        <w:autoSpaceDE w:val="0"/>
        <w:autoSpaceDN w:val="0"/>
        <w:adjustRightInd w:val="0"/>
        <w:spacing w:after="0" w:line="240" w:lineRule="auto"/>
        <w:ind w:left="426"/>
        <w:contextualSpacing/>
        <w:rPr>
          <w:rFonts w:eastAsia="Calibri" w:cs="v4.2.0"/>
          <w:sz w:val="18"/>
          <w:szCs w:val="20"/>
          <w:lang w:eastAsia="zh-CN"/>
        </w:rPr>
      </w:pPr>
      <w:r w:rsidRPr="00BC3F7A">
        <w:rPr>
          <w:rFonts w:eastAsia="Calibri" w:cs="v4.2.0"/>
          <w:sz w:val="18"/>
          <w:szCs w:val="20"/>
          <w:lang w:eastAsia="zh-CN"/>
        </w:rPr>
        <w:t>Need for this requirement is FFS as per an editor’s note in 38.133 due to async being UE-mandatory</w:t>
      </w:r>
    </w:p>
    <w:p w:rsidR="00BC3F7A" w:rsidRPr="00BC3F7A" w:rsidRDefault="00BC3F7A" w:rsidP="00BC3F7A">
      <w:pPr>
        <w:overflowPunct w:val="0"/>
        <w:autoSpaceDE w:val="0"/>
        <w:autoSpaceDN w:val="0"/>
        <w:adjustRightInd w:val="0"/>
        <w:spacing w:after="180" w:line="240" w:lineRule="auto"/>
        <w:rPr>
          <w:rFonts w:eastAsia="宋体" w:cs="Times New Roman"/>
          <w:szCs w:val="20"/>
        </w:rPr>
      </w:pPr>
    </w:p>
    <w:p w:rsidR="00BC3F7A" w:rsidRPr="00BC3F7A" w:rsidRDefault="00BC3F7A" w:rsidP="00BC3F7A">
      <w:pPr>
        <w:overflowPunct w:val="0"/>
        <w:autoSpaceDE w:val="0"/>
        <w:autoSpaceDN w:val="0"/>
        <w:adjustRightInd w:val="0"/>
        <w:spacing w:after="0" w:line="240" w:lineRule="auto"/>
        <w:rPr>
          <w:rFonts w:eastAsia="宋体" w:cs="Times New Roman"/>
          <w:szCs w:val="20"/>
        </w:rPr>
      </w:pPr>
      <w:r w:rsidRPr="00BC3F7A">
        <w:rPr>
          <w:rFonts w:eastAsia="宋体" w:cs="Times New Roman"/>
          <w:szCs w:val="20"/>
        </w:rPr>
        <w:t xml:space="preserve">The case for synchronous intra-band operation having no requirement whatsoever would imply that there are no </w:t>
      </w:r>
      <w:r w:rsidR="00B35C95">
        <w:rPr>
          <w:rFonts w:eastAsia="宋体" w:cs="Times New Roman"/>
          <w:szCs w:val="20"/>
        </w:rPr>
        <w:t xml:space="preserve">Tx </w:t>
      </w:r>
      <w:r w:rsidRPr="00BC3F7A">
        <w:rPr>
          <w:rFonts w:eastAsia="宋体" w:cs="Times New Roman"/>
          <w:szCs w:val="20"/>
        </w:rPr>
        <w:t xml:space="preserve">timing difference constraint in the UE, and it would be required to obey whatever timing difference the different timing advance settings indicated without limits. It would be important to clarify this point, and a way to do this would be to set the requirement to be the same as in asynchronous case, i.e. MRTD = </w:t>
      </w:r>
      <w:r w:rsidRPr="00BC3F7A">
        <w:rPr>
          <w:rFonts w:eastAsia="宋体" w:cs="Times New Roman"/>
          <w:szCs w:val="20"/>
          <w:lang w:val="en-GB"/>
        </w:rPr>
        <w:t>500*2</w:t>
      </w:r>
      <w:r w:rsidRPr="00BC3F7A">
        <w:rPr>
          <w:rFonts w:eastAsia="宋体" w:cs="Times New Roman"/>
          <w:szCs w:val="20"/>
          <w:vertAlign w:val="superscript"/>
          <w:lang w:val="en-GB"/>
        </w:rPr>
        <w:t>-µ</w:t>
      </w:r>
      <w:r w:rsidRPr="00BC3F7A">
        <w:rPr>
          <w:rFonts w:eastAsia="宋体" w:cs="Times New Roman"/>
          <w:szCs w:val="20"/>
        </w:rPr>
        <w:t xml:space="preserve"> µs, or alternatively define an MTTD requirement that could be derived from the inter-band – i.e. MRTD + 2.</w:t>
      </w:r>
      <w:r w:rsidR="00650842">
        <w:rPr>
          <w:rFonts w:eastAsia="宋体" w:cs="Times New Roman"/>
          <w:szCs w:val="20"/>
        </w:rPr>
        <w:t>2</w:t>
      </w:r>
      <w:r w:rsidRPr="00BC3F7A">
        <w:rPr>
          <w:rFonts w:eastAsia="宋体" w:cs="Times New Roman"/>
          <w:szCs w:val="20"/>
        </w:rPr>
        <w:t>1 µs = 5.21 µs.</w:t>
      </w:r>
    </w:p>
    <w:p w:rsidR="00BC3F7A" w:rsidRPr="00BC3F7A" w:rsidRDefault="00BC3F7A" w:rsidP="00BC3F7A">
      <w:pPr>
        <w:overflowPunct w:val="0"/>
        <w:autoSpaceDE w:val="0"/>
        <w:autoSpaceDN w:val="0"/>
        <w:adjustRightInd w:val="0"/>
        <w:spacing w:after="0" w:line="240" w:lineRule="auto"/>
        <w:rPr>
          <w:rFonts w:eastAsia="宋体" w:cs="Times New Roman"/>
          <w:szCs w:val="20"/>
          <w:lang w:val="en-GB"/>
        </w:rPr>
      </w:pPr>
      <w:r w:rsidRPr="00BC3F7A">
        <w:rPr>
          <w:rFonts w:eastAsia="宋体" w:cs="Times New Roman"/>
          <w:szCs w:val="20"/>
        </w:rPr>
        <w:t xml:space="preserve"> </w:t>
      </w:r>
    </w:p>
    <w:p w:rsidR="00BC3F7A" w:rsidRPr="000A16EA" w:rsidRDefault="00BC3F7A" w:rsidP="00BC3F7A">
      <w:pPr>
        <w:overflowPunct w:val="0"/>
        <w:autoSpaceDE w:val="0"/>
        <w:autoSpaceDN w:val="0"/>
        <w:adjustRightInd w:val="0"/>
        <w:spacing w:after="180" w:line="240" w:lineRule="auto"/>
        <w:rPr>
          <w:rFonts w:eastAsia="宋体" w:cs="Times New Roman"/>
          <w:b/>
          <w:szCs w:val="20"/>
        </w:rPr>
      </w:pPr>
      <w:r w:rsidRPr="00BC3F7A">
        <w:rPr>
          <w:rFonts w:eastAsia="宋体" w:cs="Times New Roman"/>
          <w:b/>
          <w:szCs w:val="20"/>
        </w:rPr>
        <w:t xml:space="preserve">Proposal 1: </w:t>
      </w:r>
      <w:r w:rsidRPr="000A16EA">
        <w:rPr>
          <w:rFonts w:eastAsia="宋体" w:cs="Times New Roman"/>
          <w:b/>
          <w:szCs w:val="20"/>
        </w:rPr>
        <w:t xml:space="preserve">Decide on whether to define an MTTD requirement for intra-band synchronous EN-DC should be the same as the async requirement, or if it would be derived from inter-band sync requirement, i.e. pick between </w:t>
      </w:r>
      <w:r w:rsidRPr="000A16EA">
        <w:rPr>
          <w:rFonts w:eastAsia="宋体" w:cs="Times New Roman"/>
          <w:b/>
          <w:szCs w:val="20"/>
          <w:lang w:val="en-GB"/>
        </w:rPr>
        <w:t>500*2</w:t>
      </w:r>
      <w:r w:rsidRPr="000A16EA">
        <w:rPr>
          <w:rFonts w:eastAsia="宋体" w:cs="Times New Roman"/>
          <w:b/>
          <w:szCs w:val="20"/>
          <w:vertAlign w:val="superscript"/>
          <w:lang w:val="en-GB"/>
        </w:rPr>
        <w:t>-µ</w:t>
      </w:r>
      <w:r w:rsidRPr="000A16EA">
        <w:rPr>
          <w:rFonts w:eastAsia="宋体" w:cs="Times New Roman"/>
          <w:b/>
          <w:szCs w:val="20"/>
        </w:rPr>
        <w:t xml:space="preserve"> µs and </w:t>
      </w:r>
      <w:r w:rsidRPr="000A16EA">
        <w:rPr>
          <w:rFonts w:eastAsia="宋体" w:cs="Times New Roman"/>
          <w:b/>
          <w:szCs w:val="20"/>
          <w:lang w:val="en-GB"/>
        </w:rPr>
        <w:t>5.21</w:t>
      </w:r>
      <w:r w:rsidRPr="000A16EA">
        <w:rPr>
          <w:rFonts w:eastAsia="宋体" w:cs="Times New Roman"/>
          <w:b/>
          <w:szCs w:val="20"/>
        </w:rPr>
        <w:t xml:space="preserve"> µs</w:t>
      </w:r>
    </w:p>
    <w:p w:rsidR="00BC3F7A" w:rsidRPr="00BC3F7A" w:rsidRDefault="00BC3F7A" w:rsidP="00BC3F7A">
      <w:pPr>
        <w:overflowPunct w:val="0"/>
        <w:autoSpaceDE w:val="0"/>
        <w:autoSpaceDN w:val="0"/>
        <w:adjustRightInd w:val="0"/>
        <w:spacing w:after="180" w:line="240" w:lineRule="auto"/>
        <w:rPr>
          <w:rFonts w:eastAsia="宋体" w:cs="Times New Roman"/>
          <w:szCs w:val="20"/>
        </w:rPr>
      </w:pPr>
    </w:p>
    <w:p w:rsidR="00BC3F7A" w:rsidRPr="00BC3F7A" w:rsidRDefault="00BC3F7A" w:rsidP="00BC3F7A">
      <w:pPr>
        <w:overflowPunct w:val="0"/>
        <w:autoSpaceDE w:val="0"/>
        <w:autoSpaceDN w:val="0"/>
        <w:adjustRightInd w:val="0"/>
        <w:spacing w:after="180" w:line="240" w:lineRule="auto"/>
        <w:rPr>
          <w:rFonts w:eastAsia="宋体" w:cs="Times New Roman"/>
          <w:szCs w:val="20"/>
        </w:rPr>
      </w:pPr>
      <w:r w:rsidRPr="00BC3F7A">
        <w:rPr>
          <w:rFonts w:eastAsia="宋体" w:cs="Times New Roman"/>
          <w:szCs w:val="20"/>
        </w:rPr>
        <w:t>For the second UE capability for uplink transmit timing differen</w:t>
      </w:r>
      <w:r w:rsidR="00D620E0">
        <w:rPr>
          <w:rFonts w:eastAsia="宋体" w:cs="Times New Roman"/>
          <w:szCs w:val="20"/>
        </w:rPr>
        <w:t>c</w:t>
      </w:r>
      <w:r w:rsidRPr="00BC3F7A">
        <w:rPr>
          <w:rFonts w:eastAsia="宋体" w:cs="Times New Roman"/>
          <w:szCs w:val="20"/>
        </w:rPr>
        <w:t xml:space="preserve">e in case of synchronous intra-band operation, should one be introduced, a different MTTD definition would need to be introduced. </w:t>
      </w:r>
    </w:p>
    <w:bookmarkEnd w:id="5"/>
    <w:p w:rsidR="00BC3F7A" w:rsidRPr="00BC3F7A" w:rsidRDefault="00BC3F7A" w:rsidP="00BC3F7A">
      <w:pPr>
        <w:overflowPunct w:val="0"/>
        <w:autoSpaceDE w:val="0"/>
        <w:autoSpaceDN w:val="0"/>
        <w:adjustRightInd w:val="0"/>
        <w:spacing w:after="180" w:line="240" w:lineRule="auto"/>
        <w:rPr>
          <w:rFonts w:eastAsia="宋体" w:cs="Times New Roman"/>
          <w:szCs w:val="20"/>
        </w:rPr>
      </w:pPr>
      <w:r w:rsidRPr="00BC3F7A">
        <w:rPr>
          <w:rFonts w:eastAsia="宋体" w:cs="Times New Roman"/>
          <w:szCs w:val="20"/>
        </w:rPr>
        <w:t>LTE and NR specifications are currently defined to have independent TA management loops on the two radios, and a relaxation to the requirement for the UE to obey the TA commands would be needed, if the new UE capability is to be agreed to be supported.</w:t>
      </w:r>
    </w:p>
    <w:p w:rsidR="00BC3F7A" w:rsidRPr="00BC3F7A" w:rsidRDefault="00BC3F7A" w:rsidP="00BC3F7A">
      <w:pPr>
        <w:overflowPunct w:val="0"/>
        <w:autoSpaceDE w:val="0"/>
        <w:autoSpaceDN w:val="0"/>
        <w:adjustRightInd w:val="0"/>
        <w:spacing w:after="180" w:line="240" w:lineRule="auto"/>
        <w:rPr>
          <w:rFonts w:eastAsia="宋体" w:cs="Times New Roman"/>
          <w:szCs w:val="20"/>
          <w:lang w:val="en-GB"/>
        </w:rPr>
      </w:pPr>
      <w:r w:rsidRPr="00BC3F7A">
        <w:rPr>
          <w:rFonts w:eastAsia="宋体" w:cs="Times New Roman"/>
          <w:szCs w:val="20"/>
          <w:lang w:val="en-GB"/>
        </w:rPr>
        <w:t>Three different alternatives can be envisioned for the uplink timing management</w:t>
      </w:r>
    </w:p>
    <w:p w:rsidR="00BC3F7A" w:rsidRPr="00BC3F7A" w:rsidRDefault="00BC3F7A" w:rsidP="00BC3F7A">
      <w:pPr>
        <w:numPr>
          <w:ilvl w:val="0"/>
          <w:numId w:val="28"/>
        </w:numPr>
        <w:overflowPunct w:val="0"/>
        <w:autoSpaceDE w:val="0"/>
        <w:autoSpaceDN w:val="0"/>
        <w:adjustRightInd w:val="0"/>
        <w:spacing w:after="0" w:line="240" w:lineRule="auto"/>
        <w:contextualSpacing/>
        <w:rPr>
          <w:rFonts w:eastAsia="Calibri" w:cs="Times New Roman"/>
          <w:szCs w:val="20"/>
          <w:lang w:eastAsia="zh-CN"/>
        </w:rPr>
      </w:pPr>
      <w:r w:rsidRPr="00BC3F7A">
        <w:rPr>
          <w:rFonts w:eastAsia="Calibri" w:cs="Times New Roman"/>
          <w:szCs w:val="20"/>
          <w:lang w:eastAsia="zh-CN"/>
        </w:rPr>
        <w:t>UE follows both the LTE TA and NR TA commands, and adjusts both uplinks after each command</w:t>
      </w:r>
    </w:p>
    <w:p w:rsidR="00BC3F7A" w:rsidRPr="00BC3F7A" w:rsidRDefault="00BC3F7A" w:rsidP="00BC3F7A">
      <w:pPr>
        <w:numPr>
          <w:ilvl w:val="0"/>
          <w:numId w:val="28"/>
        </w:numPr>
        <w:overflowPunct w:val="0"/>
        <w:autoSpaceDE w:val="0"/>
        <w:autoSpaceDN w:val="0"/>
        <w:adjustRightInd w:val="0"/>
        <w:spacing w:after="0" w:line="240" w:lineRule="auto"/>
        <w:contextualSpacing/>
        <w:rPr>
          <w:rFonts w:eastAsia="Calibri" w:cs="Times New Roman"/>
          <w:szCs w:val="20"/>
          <w:lang w:eastAsia="zh-CN"/>
        </w:rPr>
      </w:pPr>
      <w:r w:rsidRPr="00BC3F7A">
        <w:rPr>
          <w:rFonts w:eastAsia="Calibri" w:cs="Times New Roman"/>
          <w:szCs w:val="20"/>
          <w:lang w:eastAsia="zh-CN"/>
        </w:rPr>
        <w:t>UE follows the LTE TA commands only and adjusts both uplinks accordingly. NR TA commands are ignored.</w:t>
      </w:r>
    </w:p>
    <w:p w:rsidR="00BC3F7A" w:rsidRPr="00BC3F7A" w:rsidRDefault="00BC3F7A" w:rsidP="00BC3F7A">
      <w:pPr>
        <w:numPr>
          <w:ilvl w:val="0"/>
          <w:numId w:val="28"/>
        </w:numPr>
        <w:overflowPunct w:val="0"/>
        <w:autoSpaceDE w:val="0"/>
        <w:autoSpaceDN w:val="0"/>
        <w:adjustRightInd w:val="0"/>
        <w:spacing w:after="0" w:line="240" w:lineRule="auto"/>
        <w:contextualSpacing/>
        <w:rPr>
          <w:rFonts w:eastAsia="Calibri" w:cs="Times New Roman"/>
          <w:szCs w:val="20"/>
          <w:lang w:eastAsia="zh-CN"/>
        </w:rPr>
      </w:pPr>
      <w:r w:rsidRPr="00BC3F7A">
        <w:rPr>
          <w:rFonts w:eastAsia="Calibri" w:cs="Times New Roman"/>
          <w:szCs w:val="20"/>
          <w:lang w:eastAsia="zh-CN"/>
        </w:rPr>
        <w:t>UE follows the NR TA commands only, and adjusts both uplinks accordingly. LTE TA commands are ignored.</w:t>
      </w:r>
    </w:p>
    <w:p w:rsidR="00BC3F7A" w:rsidRPr="00BC3F7A" w:rsidRDefault="00BC3F7A" w:rsidP="00BC3F7A">
      <w:pPr>
        <w:overflowPunct w:val="0"/>
        <w:autoSpaceDE w:val="0"/>
        <w:autoSpaceDN w:val="0"/>
        <w:adjustRightInd w:val="0"/>
        <w:spacing w:after="180" w:line="240" w:lineRule="auto"/>
        <w:rPr>
          <w:rFonts w:eastAsia="宋体" w:cs="Times New Roman"/>
          <w:szCs w:val="20"/>
        </w:rPr>
      </w:pPr>
    </w:p>
    <w:p w:rsidR="00BC3F7A" w:rsidRPr="00BC3F7A" w:rsidRDefault="00BC3F7A" w:rsidP="00BC3F7A">
      <w:pPr>
        <w:overflowPunct w:val="0"/>
        <w:autoSpaceDE w:val="0"/>
        <w:autoSpaceDN w:val="0"/>
        <w:adjustRightInd w:val="0"/>
        <w:spacing w:after="180" w:line="240" w:lineRule="auto"/>
        <w:rPr>
          <w:rFonts w:eastAsia="宋体" w:cs="Times New Roman"/>
          <w:szCs w:val="20"/>
        </w:rPr>
      </w:pPr>
      <w:r w:rsidRPr="00BC3F7A">
        <w:rPr>
          <w:rFonts w:eastAsia="宋体" w:cs="Times New Roman"/>
          <w:szCs w:val="20"/>
        </w:rPr>
        <w:t>Case 1 might lead to issues, if the network would transmit TA commands on both radios and that could lead to accumulation of the two TAs. Further, if the NR SCS is 30 or 60 kHz, the LTE TA adjustment might be larger than the NR CP size.</w:t>
      </w:r>
    </w:p>
    <w:p w:rsidR="00BC3F7A" w:rsidRPr="00BC3F7A" w:rsidRDefault="00BC3F7A" w:rsidP="00BC3F7A">
      <w:pPr>
        <w:overflowPunct w:val="0"/>
        <w:autoSpaceDE w:val="0"/>
        <w:autoSpaceDN w:val="0"/>
        <w:adjustRightInd w:val="0"/>
        <w:spacing w:after="180" w:line="240" w:lineRule="auto"/>
        <w:rPr>
          <w:rFonts w:eastAsia="宋体" w:cs="Times New Roman"/>
          <w:szCs w:val="20"/>
        </w:rPr>
      </w:pPr>
      <w:r w:rsidRPr="00BC3F7A">
        <w:rPr>
          <w:rFonts w:eastAsia="宋体" w:cs="Times New Roman"/>
          <w:szCs w:val="20"/>
        </w:rPr>
        <w:t>Case 2 might cause issues, if NR SCS is 30 or 60 kHz, and the LTE TA adjustment might be larger than the NR CP size.</w:t>
      </w:r>
    </w:p>
    <w:p w:rsidR="00BC3F7A" w:rsidRPr="00BC3F7A" w:rsidRDefault="00BC3F7A" w:rsidP="00BC3F7A">
      <w:pPr>
        <w:overflowPunct w:val="0"/>
        <w:autoSpaceDE w:val="0"/>
        <w:autoSpaceDN w:val="0"/>
        <w:adjustRightInd w:val="0"/>
        <w:spacing w:after="180" w:line="240" w:lineRule="auto"/>
        <w:rPr>
          <w:rFonts w:eastAsia="宋体" w:cs="Times New Roman"/>
          <w:szCs w:val="20"/>
        </w:rPr>
      </w:pPr>
      <w:r w:rsidRPr="00BC3F7A">
        <w:rPr>
          <w:rFonts w:eastAsia="宋体" w:cs="Times New Roman"/>
          <w:szCs w:val="20"/>
        </w:rPr>
        <w:t>Case 3 would require LTE to support smaller TA steps than before, if NR SCS is 30 or 60 kHz.</w:t>
      </w:r>
    </w:p>
    <w:p w:rsidR="00BC3F7A" w:rsidRPr="00BC3F7A" w:rsidRDefault="00BC3F7A" w:rsidP="00BC3F7A">
      <w:pPr>
        <w:overflowPunct w:val="0"/>
        <w:autoSpaceDE w:val="0"/>
        <w:autoSpaceDN w:val="0"/>
        <w:adjustRightInd w:val="0"/>
        <w:spacing w:after="180" w:line="240" w:lineRule="auto"/>
        <w:rPr>
          <w:rFonts w:eastAsia="宋体" w:cs="Times New Roman"/>
          <w:szCs w:val="20"/>
        </w:rPr>
      </w:pPr>
    </w:p>
    <w:p w:rsidR="00BC3F7A" w:rsidRPr="000A16EA" w:rsidRDefault="00BC3F7A" w:rsidP="00BC3F7A">
      <w:pPr>
        <w:overflowPunct w:val="0"/>
        <w:autoSpaceDE w:val="0"/>
        <w:autoSpaceDN w:val="0"/>
        <w:adjustRightInd w:val="0"/>
        <w:spacing w:after="180" w:line="240" w:lineRule="auto"/>
        <w:rPr>
          <w:rFonts w:eastAsia="宋体" w:cs="Times New Roman"/>
          <w:b/>
          <w:szCs w:val="20"/>
        </w:rPr>
      </w:pPr>
      <w:r w:rsidRPr="00BC3F7A">
        <w:rPr>
          <w:rFonts w:eastAsia="宋体" w:cs="Times New Roman"/>
          <w:b/>
          <w:szCs w:val="20"/>
        </w:rPr>
        <w:t xml:space="preserve">Proposal 2: </w:t>
      </w:r>
      <w:r w:rsidRPr="000A16EA">
        <w:rPr>
          <w:rFonts w:eastAsia="宋体" w:cs="Times New Roman"/>
          <w:b/>
          <w:szCs w:val="20"/>
        </w:rPr>
        <w:t>Decide if the RAN1/2 introduced UE capability indicating that the UE that can only apply same uplink transmit timing between NR and LTE in intra-band synchronous EN-DC is needed</w:t>
      </w:r>
    </w:p>
    <w:p w:rsidR="00BC3F7A" w:rsidRPr="000A16EA" w:rsidRDefault="00BC3F7A" w:rsidP="00BC3F7A">
      <w:pPr>
        <w:overflowPunct w:val="0"/>
        <w:autoSpaceDE w:val="0"/>
        <w:autoSpaceDN w:val="0"/>
        <w:adjustRightInd w:val="0"/>
        <w:spacing w:after="180" w:line="240" w:lineRule="auto"/>
        <w:rPr>
          <w:rFonts w:eastAsia="宋体" w:cs="Times New Roman"/>
          <w:b/>
          <w:szCs w:val="20"/>
        </w:rPr>
      </w:pPr>
      <w:r w:rsidRPr="00BC3F7A">
        <w:rPr>
          <w:rFonts w:eastAsia="宋体" w:cs="Times New Roman"/>
          <w:b/>
          <w:szCs w:val="20"/>
        </w:rPr>
        <w:t>Proposal 3:</w:t>
      </w:r>
      <w:r w:rsidRPr="00BC3F7A">
        <w:rPr>
          <w:rFonts w:eastAsia="宋体" w:cs="Times New Roman"/>
          <w:szCs w:val="20"/>
        </w:rPr>
        <w:t xml:space="preserve"> </w:t>
      </w:r>
      <w:r w:rsidRPr="000A16EA">
        <w:rPr>
          <w:rFonts w:eastAsia="宋体" w:cs="Times New Roman"/>
          <w:b/>
          <w:szCs w:val="20"/>
        </w:rPr>
        <w:t>If the decision on proposal 2 is yes, decide on which UE behavior should be applied</w:t>
      </w:r>
    </w:p>
    <w:p w:rsidR="00BC3F7A" w:rsidRPr="00BC3F7A" w:rsidRDefault="00BC3F7A" w:rsidP="00BC3F7A">
      <w:pPr>
        <w:overflowPunct w:val="0"/>
        <w:autoSpaceDE w:val="0"/>
        <w:autoSpaceDN w:val="0"/>
        <w:adjustRightInd w:val="0"/>
        <w:spacing w:after="180" w:line="240" w:lineRule="auto"/>
        <w:rPr>
          <w:rFonts w:eastAsia="宋体" w:cs="Times New Roman"/>
          <w:szCs w:val="20"/>
        </w:rPr>
      </w:pPr>
    </w:p>
    <w:p w:rsidR="00BC3F7A" w:rsidRPr="00BC3F7A" w:rsidRDefault="00697254" w:rsidP="00BC3F7A">
      <w:pPr>
        <w:keepNext/>
        <w:keepLines/>
        <w:pBdr>
          <w:top w:val="single" w:sz="12" w:space="3" w:color="auto"/>
        </w:pBdr>
        <w:overflowPunct w:val="0"/>
        <w:autoSpaceDE w:val="0"/>
        <w:autoSpaceDN w:val="0"/>
        <w:adjustRightInd w:val="0"/>
        <w:spacing w:before="240" w:after="180" w:line="240" w:lineRule="auto"/>
        <w:ind w:left="432" w:hanging="432"/>
        <w:outlineLvl w:val="0"/>
        <w:rPr>
          <w:rFonts w:ascii="Arial" w:eastAsia="宋体" w:hAnsi="Arial" w:cs="Times New Roman"/>
          <w:sz w:val="36"/>
          <w:szCs w:val="20"/>
          <w:lang w:val="en-GB"/>
        </w:rPr>
      </w:pPr>
      <w:r>
        <w:rPr>
          <w:rFonts w:ascii="Arial" w:eastAsia="宋体" w:hAnsi="Arial" w:cs="Times New Roman"/>
          <w:sz w:val="36"/>
          <w:szCs w:val="20"/>
          <w:lang w:val="en-GB"/>
        </w:rPr>
        <w:lastRenderedPageBreak/>
        <w:t xml:space="preserve">3. </w:t>
      </w:r>
      <w:r w:rsidR="00BC3F7A" w:rsidRPr="00BC3F7A">
        <w:rPr>
          <w:rFonts w:ascii="Arial" w:eastAsia="宋体" w:hAnsi="Arial" w:cs="Times New Roman"/>
          <w:sz w:val="36"/>
          <w:szCs w:val="20"/>
          <w:lang w:val="en-GB"/>
        </w:rPr>
        <w:t>Conclusion</w:t>
      </w:r>
    </w:p>
    <w:p w:rsidR="000A16EA" w:rsidRDefault="000A16EA" w:rsidP="000A16EA">
      <w:pPr>
        <w:overflowPunct w:val="0"/>
        <w:autoSpaceDE w:val="0"/>
        <w:autoSpaceDN w:val="0"/>
        <w:adjustRightInd w:val="0"/>
        <w:spacing w:after="180" w:line="240" w:lineRule="auto"/>
        <w:rPr>
          <w:rFonts w:eastAsia="宋体" w:cs="Times New Roman"/>
          <w:b/>
          <w:szCs w:val="20"/>
        </w:rPr>
      </w:pPr>
      <w:r w:rsidRPr="00BC3F7A">
        <w:rPr>
          <w:rFonts w:eastAsia="宋体" w:cs="Times New Roman"/>
          <w:b/>
          <w:szCs w:val="20"/>
        </w:rPr>
        <w:t xml:space="preserve">Proposal 1: </w:t>
      </w:r>
      <w:r w:rsidRPr="000A16EA">
        <w:rPr>
          <w:rFonts w:eastAsia="宋体" w:cs="Times New Roman"/>
          <w:b/>
          <w:szCs w:val="20"/>
        </w:rPr>
        <w:t xml:space="preserve">Decide on whether to define an MTTD requirement for intra-band synchronous EN-DC should be the same as the async requirement, or if it would be derived from inter-band sync requirement, i.e. pick between </w:t>
      </w:r>
      <w:r w:rsidRPr="000A16EA">
        <w:rPr>
          <w:rFonts w:eastAsia="宋体" w:cs="Times New Roman"/>
          <w:b/>
          <w:szCs w:val="20"/>
          <w:lang w:val="en-GB"/>
        </w:rPr>
        <w:t>500*2</w:t>
      </w:r>
      <w:r w:rsidRPr="000A16EA">
        <w:rPr>
          <w:rFonts w:eastAsia="宋体" w:cs="Times New Roman"/>
          <w:b/>
          <w:szCs w:val="20"/>
          <w:vertAlign w:val="superscript"/>
          <w:lang w:val="en-GB"/>
        </w:rPr>
        <w:t>-µ</w:t>
      </w:r>
      <w:r w:rsidRPr="000A16EA">
        <w:rPr>
          <w:rFonts w:eastAsia="宋体" w:cs="Times New Roman"/>
          <w:b/>
          <w:szCs w:val="20"/>
        </w:rPr>
        <w:t xml:space="preserve"> µs and </w:t>
      </w:r>
      <w:r w:rsidRPr="000A16EA">
        <w:rPr>
          <w:rFonts w:eastAsia="宋体" w:cs="Times New Roman"/>
          <w:b/>
          <w:szCs w:val="20"/>
          <w:lang w:val="en-GB"/>
        </w:rPr>
        <w:t>5.21</w:t>
      </w:r>
      <w:r w:rsidRPr="000A16EA">
        <w:rPr>
          <w:rFonts w:eastAsia="宋体" w:cs="Times New Roman"/>
          <w:b/>
          <w:szCs w:val="20"/>
        </w:rPr>
        <w:t xml:space="preserve"> µs</w:t>
      </w:r>
    </w:p>
    <w:p w:rsidR="000A16EA" w:rsidRPr="000A16EA" w:rsidRDefault="000A16EA" w:rsidP="000A16EA">
      <w:pPr>
        <w:overflowPunct w:val="0"/>
        <w:autoSpaceDE w:val="0"/>
        <w:autoSpaceDN w:val="0"/>
        <w:adjustRightInd w:val="0"/>
        <w:spacing w:after="180" w:line="240" w:lineRule="auto"/>
        <w:rPr>
          <w:rFonts w:eastAsia="宋体" w:cs="Times New Roman"/>
          <w:b/>
          <w:szCs w:val="20"/>
        </w:rPr>
      </w:pPr>
      <w:r w:rsidRPr="00BC3F7A">
        <w:rPr>
          <w:rFonts w:eastAsia="宋体" w:cs="Times New Roman"/>
          <w:b/>
          <w:szCs w:val="20"/>
        </w:rPr>
        <w:t xml:space="preserve">Proposal 2: </w:t>
      </w:r>
      <w:r w:rsidRPr="000A16EA">
        <w:rPr>
          <w:rFonts w:eastAsia="宋体" w:cs="Times New Roman"/>
          <w:b/>
          <w:szCs w:val="20"/>
        </w:rPr>
        <w:t>Decide if the RAN1/2 introduced UE capability indicating that the UE that can only apply same uplink transmit timing between NR and LTE in intra-band synchronous EN-DC is needed</w:t>
      </w:r>
    </w:p>
    <w:p w:rsidR="000A16EA" w:rsidRPr="000A16EA" w:rsidRDefault="000A16EA" w:rsidP="000A16EA">
      <w:pPr>
        <w:overflowPunct w:val="0"/>
        <w:autoSpaceDE w:val="0"/>
        <w:autoSpaceDN w:val="0"/>
        <w:adjustRightInd w:val="0"/>
        <w:spacing w:after="180" w:line="240" w:lineRule="auto"/>
        <w:rPr>
          <w:rFonts w:eastAsia="宋体" w:cs="Times New Roman"/>
          <w:b/>
          <w:szCs w:val="20"/>
        </w:rPr>
      </w:pPr>
      <w:r w:rsidRPr="00BC3F7A">
        <w:rPr>
          <w:rFonts w:eastAsia="宋体" w:cs="Times New Roman"/>
          <w:b/>
          <w:szCs w:val="20"/>
        </w:rPr>
        <w:t>Proposal 3:</w:t>
      </w:r>
      <w:r w:rsidRPr="00BC3F7A">
        <w:rPr>
          <w:rFonts w:eastAsia="宋体" w:cs="Times New Roman"/>
          <w:szCs w:val="20"/>
        </w:rPr>
        <w:t xml:space="preserve"> </w:t>
      </w:r>
      <w:r w:rsidRPr="000A16EA">
        <w:rPr>
          <w:rFonts w:eastAsia="宋体" w:cs="Times New Roman"/>
          <w:b/>
          <w:szCs w:val="20"/>
        </w:rPr>
        <w:t>If the decision on proposal 2 is yes, decide on which UE behavior should be applied</w:t>
      </w:r>
    </w:p>
    <w:p w:rsidR="000A16EA" w:rsidRPr="000A16EA" w:rsidRDefault="000A16EA" w:rsidP="000A16EA">
      <w:pPr>
        <w:overflowPunct w:val="0"/>
        <w:autoSpaceDE w:val="0"/>
        <w:autoSpaceDN w:val="0"/>
        <w:adjustRightInd w:val="0"/>
        <w:spacing w:after="180" w:line="240" w:lineRule="auto"/>
        <w:rPr>
          <w:rFonts w:eastAsia="宋体" w:cs="Times New Roman"/>
          <w:b/>
          <w:szCs w:val="20"/>
        </w:rPr>
      </w:pPr>
    </w:p>
    <w:p w:rsidR="00BC3F7A" w:rsidRPr="00BC3F7A" w:rsidRDefault="00BC3F7A" w:rsidP="00BC3F7A">
      <w:pPr>
        <w:keepNext/>
        <w:keepLines/>
        <w:pBdr>
          <w:top w:val="single" w:sz="12" w:space="3" w:color="auto"/>
        </w:pBdr>
        <w:overflowPunct w:val="0"/>
        <w:autoSpaceDE w:val="0"/>
        <w:autoSpaceDN w:val="0"/>
        <w:adjustRightInd w:val="0"/>
        <w:spacing w:before="240" w:after="180" w:line="240" w:lineRule="auto"/>
        <w:outlineLvl w:val="0"/>
        <w:rPr>
          <w:rFonts w:ascii="Arial" w:eastAsia="宋体" w:hAnsi="Arial" w:cs="Times New Roman"/>
          <w:sz w:val="36"/>
          <w:szCs w:val="20"/>
          <w:lang w:val="en-GB"/>
        </w:rPr>
      </w:pPr>
      <w:r w:rsidRPr="00BC3F7A">
        <w:rPr>
          <w:rFonts w:ascii="Arial" w:eastAsia="宋体" w:hAnsi="Arial" w:cs="Times New Roman"/>
          <w:sz w:val="36"/>
          <w:szCs w:val="20"/>
          <w:lang w:val="en-GB"/>
        </w:rPr>
        <w:t>References</w:t>
      </w:r>
    </w:p>
    <w:p w:rsidR="00806672" w:rsidRPr="00806672" w:rsidRDefault="00806672" w:rsidP="00806672">
      <w:pPr>
        <w:numPr>
          <w:ilvl w:val="0"/>
          <w:numId w:val="29"/>
        </w:numPr>
        <w:overflowPunct w:val="0"/>
        <w:autoSpaceDE w:val="0"/>
        <w:autoSpaceDN w:val="0"/>
        <w:adjustRightInd w:val="0"/>
        <w:spacing w:after="0" w:line="240" w:lineRule="auto"/>
        <w:contextualSpacing/>
        <w:rPr>
          <w:rFonts w:eastAsia="宋体" w:cs="Times New Roman"/>
          <w:szCs w:val="24"/>
          <w:lang w:eastAsia="zh-CN"/>
        </w:rPr>
      </w:pPr>
      <w:r w:rsidRPr="00806672">
        <w:rPr>
          <w:rFonts w:eastAsia="宋体" w:cs="Times New Roman"/>
          <w:szCs w:val="24"/>
          <w:lang w:eastAsia="zh-CN"/>
        </w:rPr>
        <w:t xml:space="preserve">R4-1900008, </w:t>
      </w:r>
      <w:r>
        <w:rPr>
          <w:rFonts w:eastAsia="宋体" w:cs="Times New Roman"/>
          <w:szCs w:val="24"/>
          <w:lang w:eastAsia="zh-CN"/>
        </w:rPr>
        <w:t>L</w:t>
      </w:r>
      <w:r w:rsidRPr="00806672">
        <w:rPr>
          <w:rFonts w:eastAsia="宋体" w:cs="Times New Roman"/>
          <w:szCs w:val="24"/>
          <w:lang w:eastAsia="zh-CN"/>
        </w:rPr>
        <w:t>S on timing related capability for intra-band EN-DC and capability for number of TAGs</w:t>
      </w:r>
      <w:r>
        <w:rPr>
          <w:rFonts w:eastAsia="宋体" w:cs="Times New Roman"/>
          <w:szCs w:val="24"/>
          <w:lang w:eastAsia="zh-CN"/>
        </w:rPr>
        <w:t xml:space="preserve">, </w:t>
      </w:r>
      <w:r w:rsidRPr="00806672">
        <w:rPr>
          <w:rFonts w:eastAsia="宋体" w:cs="Times New Roman"/>
          <w:szCs w:val="24"/>
          <w:lang w:eastAsia="zh-CN"/>
        </w:rPr>
        <w:t>RAN1, Intel</w:t>
      </w:r>
      <w:r>
        <w:rPr>
          <w:rFonts w:eastAsia="宋体" w:cs="Times New Roman"/>
          <w:szCs w:val="24"/>
          <w:lang w:eastAsia="zh-CN"/>
        </w:rPr>
        <w:t xml:space="preserve"> (Original LS: </w:t>
      </w:r>
      <w:r w:rsidRPr="00806672">
        <w:rPr>
          <w:rFonts w:eastAsia="Calibri" w:cs="Times New Roman"/>
          <w:szCs w:val="24"/>
          <w:lang w:eastAsia="zh-CN"/>
        </w:rPr>
        <w:t>R1-1814321,</w:t>
      </w:r>
      <w:r w:rsidRPr="00BC3F7A">
        <w:rPr>
          <w:rFonts w:eastAsia="Calibri" w:cs="Times New Roman"/>
          <w:szCs w:val="24"/>
          <w:lang w:eastAsia="zh-CN"/>
        </w:rPr>
        <w:t xml:space="preserve"> from RAN1 to RAN2 and RAN4</w:t>
      </w:r>
      <w:r w:rsidRPr="00806672">
        <w:rPr>
          <w:rFonts w:eastAsia="宋体" w:cs="Times New Roman"/>
          <w:szCs w:val="24"/>
          <w:lang w:eastAsia="zh-CN"/>
        </w:rPr>
        <w:t>)</w:t>
      </w:r>
    </w:p>
    <w:sectPr w:rsidR="00806672" w:rsidRPr="0080667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3DD" w:rsidRDefault="005353DD" w:rsidP="00001C9B">
      <w:pPr>
        <w:spacing w:after="0" w:line="240" w:lineRule="auto"/>
      </w:pPr>
      <w:r>
        <w:separator/>
      </w:r>
    </w:p>
  </w:endnote>
  <w:endnote w:type="continuationSeparator" w:id="0">
    <w:p w:rsidR="005353DD" w:rsidRDefault="005353D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3DD" w:rsidRDefault="005353DD" w:rsidP="00001C9B">
      <w:pPr>
        <w:spacing w:after="0" w:line="240" w:lineRule="auto"/>
      </w:pPr>
      <w:r>
        <w:separator/>
      </w:r>
    </w:p>
  </w:footnote>
  <w:footnote w:type="continuationSeparator" w:id="0">
    <w:p w:rsidR="005353DD" w:rsidRDefault="005353D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8344DF"/>
    <w:multiLevelType w:val="hybridMultilevel"/>
    <w:tmpl w:val="C092118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F3CB4"/>
    <w:multiLevelType w:val="hybridMultilevel"/>
    <w:tmpl w:val="19C048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3FE3A5F"/>
    <w:multiLevelType w:val="hybridMultilevel"/>
    <w:tmpl w:val="B27027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C2776B"/>
    <w:multiLevelType w:val="hybridMultilevel"/>
    <w:tmpl w:val="1196F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46B0372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97267"/>
    <w:multiLevelType w:val="hybridMultilevel"/>
    <w:tmpl w:val="4F1A007A"/>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D314BC9"/>
    <w:multiLevelType w:val="hybridMultilevel"/>
    <w:tmpl w:val="4ADE8198"/>
    <w:lvl w:ilvl="0" w:tplc="FA52A6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172928"/>
    <w:multiLevelType w:val="hybridMultilevel"/>
    <w:tmpl w:val="105A9DD8"/>
    <w:lvl w:ilvl="0" w:tplc="495485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CD2D7B"/>
    <w:multiLevelType w:val="hybridMultilevel"/>
    <w:tmpl w:val="45EA9356"/>
    <w:lvl w:ilvl="0" w:tplc="9E1AFC0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4"/>
  </w:num>
  <w:num w:numId="3">
    <w:abstractNumId w:val="10"/>
  </w:num>
  <w:num w:numId="4">
    <w:abstractNumId w:val="3"/>
  </w:num>
  <w:num w:numId="5">
    <w:abstractNumId w:val="12"/>
  </w:num>
  <w:num w:numId="6">
    <w:abstractNumId w:val="7"/>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7"/>
    <w:lvlOverride w:ilvl="0">
      <w:startOverride w:val="1"/>
    </w:lvlOverride>
  </w:num>
  <w:num w:numId="12">
    <w:abstractNumId w:val="9"/>
    <w:lvlOverride w:ilvl="0">
      <w:startOverride w:val="1"/>
    </w:lvlOverride>
  </w:num>
  <w:num w:numId="13">
    <w:abstractNumId w:val="7"/>
    <w:lvlOverride w:ilvl="0">
      <w:startOverride w:val="1"/>
    </w:lvlOverride>
  </w:num>
  <w:num w:numId="14">
    <w:abstractNumId w:val="9"/>
    <w:lvlOverride w:ilvl="0">
      <w:startOverride w:val="1"/>
    </w:lvlOverride>
  </w:num>
  <w:num w:numId="15">
    <w:abstractNumId w:val="9"/>
  </w:num>
  <w:num w:numId="16">
    <w:abstractNumId w:val="13"/>
  </w:num>
  <w:num w:numId="17">
    <w:abstractNumId w:val="9"/>
    <w:lvlOverride w:ilvl="0">
      <w:startOverride w:val="1"/>
    </w:lvlOverride>
  </w:num>
  <w:num w:numId="18">
    <w:abstractNumId w:val="9"/>
  </w:num>
  <w:num w:numId="19">
    <w:abstractNumId w:val="9"/>
  </w:num>
  <w:num w:numId="20">
    <w:abstractNumId w:val="7"/>
    <w:lvlOverride w:ilvl="0">
      <w:startOverride w:val="1"/>
    </w:lvlOverride>
  </w:num>
  <w:num w:numId="21">
    <w:abstractNumId w:val="14"/>
  </w:num>
  <w:num w:numId="22">
    <w:abstractNumId w:val="11"/>
  </w:num>
  <w:num w:numId="23">
    <w:abstractNumId w:val="5"/>
  </w:num>
  <w:num w:numId="24">
    <w:abstractNumId w:val="9"/>
    <w:lvlOverride w:ilvl="0">
      <w:startOverride w:val="1"/>
    </w:lvlOverride>
  </w:num>
  <w:num w:numId="25">
    <w:abstractNumId w:val="9"/>
    <w:lvlOverride w:ilvl="0">
      <w:startOverride w:val="1"/>
    </w:lvlOverride>
  </w:num>
  <w:num w:numId="26">
    <w:abstractNumId w:val="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lvlOverride w:ilvl="2"/>
    <w:lvlOverride w:ilvl="3"/>
    <w:lvlOverride w:ilvl="4"/>
    <w:lvlOverride w:ilvl="5"/>
    <w:lvlOverride w:ilvl="6"/>
    <w:lvlOverride w:ilvl="7"/>
    <w:lvlOverride w:ilvl="8"/>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5291"/>
    <w:rsid w:val="0008612A"/>
    <w:rsid w:val="0009461E"/>
    <w:rsid w:val="000A16EA"/>
    <w:rsid w:val="000B0056"/>
    <w:rsid w:val="001058F0"/>
    <w:rsid w:val="00165487"/>
    <w:rsid w:val="001745F8"/>
    <w:rsid w:val="001838CF"/>
    <w:rsid w:val="00185561"/>
    <w:rsid w:val="001950F4"/>
    <w:rsid w:val="001A7AC6"/>
    <w:rsid w:val="001B2870"/>
    <w:rsid w:val="001E30F6"/>
    <w:rsid w:val="00216DE4"/>
    <w:rsid w:val="00220882"/>
    <w:rsid w:val="00235F5C"/>
    <w:rsid w:val="00257D17"/>
    <w:rsid w:val="00281366"/>
    <w:rsid w:val="00290927"/>
    <w:rsid w:val="002B4922"/>
    <w:rsid w:val="002C2D19"/>
    <w:rsid w:val="002D10FA"/>
    <w:rsid w:val="002D4C55"/>
    <w:rsid w:val="002E533C"/>
    <w:rsid w:val="002F0212"/>
    <w:rsid w:val="00327018"/>
    <w:rsid w:val="003400CC"/>
    <w:rsid w:val="003672AD"/>
    <w:rsid w:val="003857E5"/>
    <w:rsid w:val="003939CC"/>
    <w:rsid w:val="003B659E"/>
    <w:rsid w:val="00412177"/>
    <w:rsid w:val="004150AE"/>
    <w:rsid w:val="00433BD6"/>
    <w:rsid w:val="0043750A"/>
    <w:rsid w:val="004E5E66"/>
    <w:rsid w:val="00503B4D"/>
    <w:rsid w:val="00504EE9"/>
    <w:rsid w:val="005353DD"/>
    <w:rsid w:val="00541A61"/>
    <w:rsid w:val="0054442C"/>
    <w:rsid w:val="00550285"/>
    <w:rsid w:val="005836F8"/>
    <w:rsid w:val="005E61A8"/>
    <w:rsid w:val="005F6419"/>
    <w:rsid w:val="00617400"/>
    <w:rsid w:val="00650842"/>
    <w:rsid w:val="00664950"/>
    <w:rsid w:val="00683220"/>
    <w:rsid w:val="00687FA0"/>
    <w:rsid w:val="0069591F"/>
    <w:rsid w:val="00697254"/>
    <w:rsid w:val="006B7010"/>
    <w:rsid w:val="006D241A"/>
    <w:rsid w:val="006D68AF"/>
    <w:rsid w:val="006F5777"/>
    <w:rsid w:val="00702EA3"/>
    <w:rsid w:val="007145FF"/>
    <w:rsid w:val="007150F6"/>
    <w:rsid w:val="00727FF3"/>
    <w:rsid w:val="007354A1"/>
    <w:rsid w:val="00751515"/>
    <w:rsid w:val="00753F30"/>
    <w:rsid w:val="00756E58"/>
    <w:rsid w:val="00785232"/>
    <w:rsid w:val="007B7C95"/>
    <w:rsid w:val="007C3ED0"/>
    <w:rsid w:val="007E16D9"/>
    <w:rsid w:val="00806672"/>
    <w:rsid w:val="00806A76"/>
    <w:rsid w:val="00811C9D"/>
    <w:rsid w:val="00816C80"/>
    <w:rsid w:val="0083187B"/>
    <w:rsid w:val="00841BCD"/>
    <w:rsid w:val="00856199"/>
    <w:rsid w:val="008826C1"/>
    <w:rsid w:val="008E3395"/>
    <w:rsid w:val="008F3120"/>
    <w:rsid w:val="009042BD"/>
    <w:rsid w:val="00920891"/>
    <w:rsid w:val="00924A4E"/>
    <w:rsid w:val="00935A8D"/>
    <w:rsid w:val="00977E1D"/>
    <w:rsid w:val="0099725E"/>
    <w:rsid w:val="009F3674"/>
    <w:rsid w:val="00A22B78"/>
    <w:rsid w:val="00A25AE5"/>
    <w:rsid w:val="00A40F90"/>
    <w:rsid w:val="00A46F43"/>
    <w:rsid w:val="00A8046D"/>
    <w:rsid w:val="00A8407B"/>
    <w:rsid w:val="00A907CB"/>
    <w:rsid w:val="00AA1B0E"/>
    <w:rsid w:val="00AC5CA7"/>
    <w:rsid w:val="00AE51A7"/>
    <w:rsid w:val="00AF4B6C"/>
    <w:rsid w:val="00B1060A"/>
    <w:rsid w:val="00B320AD"/>
    <w:rsid w:val="00B35C95"/>
    <w:rsid w:val="00B613CF"/>
    <w:rsid w:val="00B63069"/>
    <w:rsid w:val="00B67E3F"/>
    <w:rsid w:val="00BA1B4C"/>
    <w:rsid w:val="00BA6E48"/>
    <w:rsid w:val="00BB6036"/>
    <w:rsid w:val="00BC3F7A"/>
    <w:rsid w:val="00BF2218"/>
    <w:rsid w:val="00C13B29"/>
    <w:rsid w:val="00C40FE2"/>
    <w:rsid w:val="00CD229C"/>
    <w:rsid w:val="00CD7492"/>
    <w:rsid w:val="00CE2F19"/>
    <w:rsid w:val="00CE3A6B"/>
    <w:rsid w:val="00CF7485"/>
    <w:rsid w:val="00D00211"/>
    <w:rsid w:val="00D06309"/>
    <w:rsid w:val="00D13A0F"/>
    <w:rsid w:val="00D20B6E"/>
    <w:rsid w:val="00D23E0E"/>
    <w:rsid w:val="00D351EA"/>
    <w:rsid w:val="00D43403"/>
    <w:rsid w:val="00D55715"/>
    <w:rsid w:val="00D620E0"/>
    <w:rsid w:val="00D62E71"/>
    <w:rsid w:val="00D740CA"/>
    <w:rsid w:val="00D83E87"/>
    <w:rsid w:val="00D84636"/>
    <w:rsid w:val="00D85728"/>
    <w:rsid w:val="00D91DE2"/>
    <w:rsid w:val="00DA264F"/>
    <w:rsid w:val="00DB785E"/>
    <w:rsid w:val="00DE35F7"/>
    <w:rsid w:val="00DF2997"/>
    <w:rsid w:val="00DF3461"/>
    <w:rsid w:val="00DF7E0E"/>
    <w:rsid w:val="00E17011"/>
    <w:rsid w:val="00EB59D6"/>
    <w:rsid w:val="00EC7BC3"/>
    <w:rsid w:val="00ED7600"/>
    <w:rsid w:val="00F00FB4"/>
    <w:rsid w:val="00F06C7C"/>
    <w:rsid w:val="00F1362C"/>
    <w:rsid w:val="00F212FB"/>
    <w:rsid w:val="00F50BCA"/>
    <w:rsid w:val="00F81907"/>
    <w:rsid w:val="00F824F5"/>
    <w:rsid w:val="00F95BD5"/>
    <w:rsid w:val="00FA546D"/>
    <w:rsid w:val="00FC29B9"/>
    <w:rsid w:val="00FC6FD3"/>
    <w:rsid w:val="00FE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34B1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customStyle="1" w:styleId="B3">
    <w:name w:val="B3"/>
    <w:basedOn w:val="Normal"/>
    <w:rsid w:val="00B1060A"/>
    <w:pPr>
      <w:spacing w:after="180" w:line="240" w:lineRule="auto"/>
      <w:ind w:left="1135" w:hanging="284"/>
    </w:pPr>
    <w:rPr>
      <w:rFonts w:eastAsia="宋体" w:cs="Times New Roman"/>
      <w:szCs w:val="20"/>
      <w:lang w:val="en-GB"/>
    </w:rPr>
  </w:style>
  <w:style w:type="table" w:customStyle="1" w:styleId="TableGrid1">
    <w:name w:val="Table Grid1"/>
    <w:basedOn w:val="TableNormal"/>
    <w:next w:val="TableGrid"/>
    <w:uiPriority w:val="39"/>
    <w:rsid w:val="001A7AC6"/>
    <w:pPr>
      <w:spacing w:after="0" w:line="240" w:lineRule="auto"/>
    </w:pPr>
    <w:rPr>
      <w:rFonts w:ascii="Arial" w:eastAsiaTheme="minorEastAsia"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Normal"/>
    <w:link w:val="TANChar"/>
    <w:rsid w:val="001A7AC6"/>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rsid w:val="001A7AC6"/>
    <w:rPr>
      <w:rFonts w:ascii="Arial" w:eastAsia="宋体" w:hAnsi="Arial" w:cs="Times New Roman"/>
      <w:sz w:val="18"/>
      <w:szCs w:val="20"/>
      <w:lang w:val="en-GB"/>
    </w:rPr>
  </w:style>
  <w:style w:type="table" w:customStyle="1" w:styleId="TableGrid2">
    <w:name w:val="Table Grid2"/>
    <w:basedOn w:val="TableNormal"/>
    <w:next w:val="TableGrid"/>
    <w:rsid w:val="00BC3F7A"/>
    <w:pPr>
      <w:spacing w:after="0" w:line="240" w:lineRule="auto"/>
    </w:pPr>
    <w:rPr>
      <w:rFonts w:ascii="CG Times (WN)" w:eastAsia="宋体"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16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6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500147">
      <w:bodyDiv w:val="1"/>
      <w:marLeft w:val="0"/>
      <w:marRight w:val="0"/>
      <w:marTop w:val="0"/>
      <w:marBottom w:val="0"/>
      <w:divBdr>
        <w:top w:val="none" w:sz="0" w:space="0" w:color="auto"/>
        <w:left w:val="none" w:sz="0" w:space="0" w:color="auto"/>
        <w:bottom w:val="none" w:sz="0" w:space="0" w:color="auto"/>
        <w:right w:val="none" w:sz="0" w:space="0" w:color="auto"/>
      </w:divBdr>
    </w:div>
    <w:div w:id="1277324907">
      <w:bodyDiv w:val="1"/>
      <w:marLeft w:val="0"/>
      <w:marRight w:val="0"/>
      <w:marTop w:val="0"/>
      <w:marBottom w:val="0"/>
      <w:divBdr>
        <w:top w:val="none" w:sz="0" w:space="0" w:color="auto"/>
        <w:left w:val="none" w:sz="0" w:space="0" w:color="auto"/>
        <w:bottom w:val="none" w:sz="0" w:space="0" w:color="auto"/>
        <w:right w:val="none" w:sz="0" w:space="0" w:color="auto"/>
      </w:divBdr>
    </w:div>
    <w:div w:id="21036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CBC1-88B1-46DC-8E2B-C5DA2F1F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60</cp:revision>
  <dcterms:created xsi:type="dcterms:W3CDTF">2018-03-31T07:44:00Z</dcterms:created>
  <dcterms:modified xsi:type="dcterms:W3CDTF">2019-02-15T20:28:00Z</dcterms:modified>
</cp:coreProperties>
</file>